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2A34" w14:textId="77777777" w:rsidR="002C6983" w:rsidRPr="000A5914" w:rsidRDefault="002C6983" w:rsidP="002C6983">
      <w:pPr>
        <w:pStyle w:val="CommentText"/>
        <w:rPr>
          <w:sz w:val="24"/>
          <w:szCs w:val="24"/>
        </w:rPr>
      </w:pPr>
      <w:r w:rsidRPr="000A5914">
        <w:rPr>
          <w:sz w:val="24"/>
          <w:szCs w:val="24"/>
        </w:rPr>
        <w:t>* Supplement material</w:t>
      </w:r>
    </w:p>
    <w:p w14:paraId="4DFF03E0" w14:textId="77777777" w:rsidR="002C6983" w:rsidRPr="000A5914" w:rsidRDefault="002C6983" w:rsidP="002C6983">
      <w:pPr>
        <w:pStyle w:val="CommentText"/>
        <w:rPr>
          <w:sz w:val="24"/>
          <w:szCs w:val="24"/>
        </w:rPr>
      </w:pPr>
    </w:p>
    <w:p w14:paraId="4B44934C" w14:textId="77777777" w:rsidR="002C6983" w:rsidRPr="000A5914" w:rsidRDefault="002C6983" w:rsidP="002C6983">
      <w:pPr>
        <w:pStyle w:val="CommentText"/>
        <w:rPr>
          <w:sz w:val="24"/>
          <w:szCs w:val="24"/>
        </w:rPr>
      </w:pPr>
      <w:r w:rsidRPr="000A5914">
        <w:rPr>
          <w:color w:val="000000" w:themeColor="text1"/>
          <w:sz w:val="24"/>
          <w:szCs w:val="24"/>
          <w:lang w:eastAsia="lt-LT"/>
        </w:rPr>
        <w:t xml:space="preserve">FLACC (face, legs activity, cry, </w:t>
      </w:r>
      <w:proofErr w:type="spellStart"/>
      <w:r w:rsidRPr="000A5914">
        <w:rPr>
          <w:color w:val="000000" w:themeColor="text1"/>
          <w:sz w:val="24"/>
          <w:szCs w:val="24"/>
          <w:lang w:eastAsia="lt-LT"/>
        </w:rPr>
        <w:t>consolability</w:t>
      </w:r>
      <w:proofErr w:type="spellEnd"/>
      <w:r w:rsidRPr="000A5914">
        <w:rPr>
          <w:color w:val="000000" w:themeColor="text1"/>
          <w:sz w:val="24"/>
          <w:szCs w:val="24"/>
          <w:lang w:eastAsia="lt-LT"/>
        </w:rPr>
        <w:t xml:space="preserve">), Wong-Baker faces pain rating scale (Wong-Baker FACES), VAS (visual analogue scale) and VRS (verbal rating scale) is used for pain evaluation according to child’s age. After, the treatment follows </w:t>
      </w:r>
      <w:r w:rsidRPr="000A5914">
        <w:rPr>
          <w:color w:val="000000" w:themeColor="text1"/>
          <w:sz w:val="24"/>
          <w:szCs w:val="24"/>
          <w:lang w:eastAsia="lt-LT"/>
        </w:rPr>
        <w:fldChar w:fldCharType="begin" w:fldLock="1"/>
      </w:r>
      <w:r w:rsidRPr="000A5914">
        <w:rPr>
          <w:color w:val="000000" w:themeColor="text1"/>
          <w:sz w:val="24"/>
          <w:szCs w:val="24"/>
          <w:lang w:eastAsia="lt-LT"/>
        </w:rPr>
        <w:instrText>ADDIN CSL_CITATION {"citationItems":[{"id":"ITEM-1","itemData":{"DOI":"10.1155/2014/269140","ISSN":"1203-6765","abstract":"BACKGROUND: Evidence indicates that pain is undertreated in the emergency department (ED). The first step in improving the pain experience for ED patients is to accurately and systematically assess the actual care being provided. Identifying gaps in the assessment and treatment of pain and improving patient outcomes requires relevant, evidence-based performance measures.","author":[{"dropping-particle":"","family":"Stang","given":"Antonia S","non-dropping-particle":"","parse-names":false,"suffix":""},{"dropping-particle":"","family":"Hartling","given":"Lisa","non-dropping-particle":"","parse-names":false,"suffix":""},{"dropping-particle":"","family":"Fera","given":"Cassandra","non-dropping-particle":"","parse-names":false,"suffix":""},{"dropping-particle":"","family":"Johnson","given":"David","non-dropping-particle":"","parse-names":false,"suffix":""},{"dropping-particle":"","family":"Ali","given":"Samina","non-dropping-particle":"","parse-names":false,"suffix":""}],"container-title":"Pain Research and Management","id":"ITEM-1","issue":"6","issued":{"date-parts":[["2014"]]},"page":"e179-e190","title":"Quality Indicators for the Assessment and Management of Pain in the Emergency Department: A Systematic Review","type":"article-journal","volume":"19"},"uris":["http://www.mendeley.com/documents/?uuid=d1b0f1e1-198b-437f-aa53-840660c3f16e"]},{"id":"ITEM-2","itemData":{"DOI":"10.1097/01.NAJ.0000370157.33223.6d","ISSN":"0002-936X","author":[{"dropping-particle":"","family":"Narayan","given":"Mary Curry","non-dropping-particle":"","parse-names":false,"suffix":""}],"container-title":"AJN, American Journal of Nursing","id":"ITEM-2","issue":"4","issued":{"date-parts":[["2010","4"]]},"page":"38-47","title":"Culture's Effects on Pain Assessment and Management","type":"article-journal","volume":"110"},"uris":["http://www.mendeley.com/documents/?uuid=945b7fe4-bf15-4ffe-a211-aee60391c708"]}],"mendeley":{"formattedCitation":"[26,27]","plainTextFormattedCitation":"[26,27]","previouslyFormattedCitation":"[25,26]"},"properties":{"noteIndex":0},"schema":"https://github.com/citation-style-language/schema/raw/master/csl-citation.json"}</w:instrText>
      </w:r>
      <w:r w:rsidRPr="000A5914">
        <w:rPr>
          <w:color w:val="000000" w:themeColor="text1"/>
          <w:sz w:val="24"/>
          <w:szCs w:val="24"/>
          <w:lang w:eastAsia="lt-LT"/>
        </w:rPr>
        <w:fldChar w:fldCharType="separate"/>
      </w:r>
      <w:r w:rsidRPr="000A5914">
        <w:rPr>
          <w:noProof/>
          <w:color w:val="000000" w:themeColor="text1"/>
          <w:sz w:val="24"/>
          <w:szCs w:val="24"/>
          <w:lang w:eastAsia="lt-LT"/>
        </w:rPr>
        <w:t>[26, 27]</w:t>
      </w:r>
      <w:r w:rsidRPr="000A5914">
        <w:rPr>
          <w:color w:val="000000" w:themeColor="text1"/>
          <w:sz w:val="24"/>
          <w:szCs w:val="24"/>
          <w:lang w:eastAsia="lt-LT"/>
        </w:rPr>
        <w:fldChar w:fldCharType="end"/>
      </w:r>
      <w:r w:rsidRPr="000A5914">
        <w:rPr>
          <w:color w:val="000000" w:themeColor="text1"/>
          <w:sz w:val="24"/>
          <w:szCs w:val="24"/>
          <w:lang w:eastAsia="lt-LT"/>
        </w:rPr>
        <w:t xml:space="preserve"> (</w:t>
      </w:r>
      <w:r w:rsidRPr="000A5914">
        <w:rPr>
          <w:i/>
          <w:iCs/>
          <w:color w:val="000000" w:themeColor="text1"/>
          <w:sz w:val="24"/>
          <w:szCs w:val="24"/>
          <w:lang w:eastAsia="lt-LT"/>
        </w:rPr>
        <w:t>Table S1, S2</w:t>
      </w:r>
      <w:r w:rsidRPr="000A5914">
        <w:rPr>
          <w:color w:val="000000" w:themeColor="text1"/>
          <w:sz w:val="24"/>
          <w:szCs w:val="24"/>
          <w:lang w:eastAsia="lt-LT"/>
        </w:rPr>
        <w:t>)</w:t>
      </w:r>
    </w:p>
    <w:p w14:paraId="4E0D5E48" w14:textId="010F3C47" w:rsidR="00A22366" w:rsidRDefault="00A22366"/>
    <w:tbl>
      <w:tblPr>
        <w:tblStyle w:val="TableGrid"/>
        <w:tblW w:w="0" w:type="auto"/>
        <w:jc w:val="center"/>
        <w:tblLook w:val="04A0" w:firstRow="1" w:lastRow="0" w:firstColumn="1" w:lastColumn="0" w:noHBand="0" w:noVBand="1"/>
      </w:tblPr>
      <w:tblGrid>
        <w:gridCol w:w="4135"/>
        <w:gridCol w:w="4860"/>
      </w:tblGrid>
      <w:tr w:rsidR="002C6983" w:rsidRPr="000A5914" w14:paraId="6051B275" w14:textId="77777777" w:rsidTr="002C6983">
        <w:trPr>
          <w:jc w:val="center"/>
        </w:trPr>
        <w:tc>
          <w:tcPr>
            <w:tcW w:w="4135" w:type="dxa"/>
          </w:tcPr>
          <w:p w14:paraId="0CED1B62" w14:textId="77777777" w:rsidR="002C6983" w:rsidRPr="000A5914" w:rsidRDefault="002C6983" w:rsidP="000E05E3">
            <w:pPr>
              <w:spacing w:line="360" w:lineRule="auto"/>
              <w:jc w:val="center"/>
              <w:rPr>
                <w:b/>
                <w:bCs/>
                <w:color w:val="000000" w:themeColor="text1"/>
                <w:lang w:eastAsia="lt-LT"/>
              </w:rPr>
            </w:pPr>
            <w:r w:rsidRPr="000A5914">
              <w:rPr>
                <w:b/>
                <w:bCs/>
                <w:color w:val="000000" w:themeColor="text1"/>
                <w:lang w:eastAsia="lt-LT"/>
              </w:rPr>
              <w:t>Pain intensity (VAS)</w:t>
            </w:r>
          </w:p>
        </w:tc>
        <w:tc>
          <w:tcPr>
            <w:tcW w:w="4860" w:type="dxa"/>
          </w:tcPr>
          <w:p w14:paraId="7F404987" w14:textId="77777777" w:rsidR="002C6983" w:rsidRPr="000A5914" w:rsidRDefault="002C6983" w:rsidP="000E05E3">
            <w:pPr>
              <w:spacing w:line="360" w:lineRule="auto"/>
              <w:jc w:val="both"/>
              <w:rPr>
                <w:b/>
                <w:bCs/>
                <w:color w:val="000000" w:themeColor="text1"/>
                <w:lang w:eastAsia="lt-LT"/>
              </w:rPr>
            </w:pPr>
            <w:r w:rsidRPr="000A5914">
              <w:rPr>
                <w:b/>
                <w:bCs/>
                <w:color w:val="000000" w:themeColor="text1"/>
                <w:lang w:eastAsia="lt-LT"/>
              </w:rPr>
              <w:t>Pain management</w:t>
            </w:r>
          </w:p>
        </w:tc>
      </w:tr>
      <w:tr w:rsidR="002C6983" w:rsidRPr="000A5914" w14:paraId="0D50F96A" w14:textId="77777777" w:rsidTr="002C6983">
        <w:trPr>
          <w:jc w:val="center"/>
        </w:trPr>
        <w:tc>
          <w:tcPr>
            <w:tcW w:w="4135" w:type="dxa"/>
          </w:tcPr>
          <w:p w14:paraId="39381A6E" w14:textId="77777777" w:rsidR="002C6983" w:rsidRPr="000A5914" w:rsidRDefault="002C6983" w:rsidP="000E05E3">
            <w:pPr>
              <w:spacing w:line="360" w:lineRule="auto"/>
              <w:jc w:val="center"/>
              <w:rPr>
                <w:color w:val="000000" w:themeColor="text1"/>
                <w:lang w:eastAsia="lt-LT"/>
              </w:rPr>
            </w:pPr>
            <w:r w:rsidRPr="000A5914">
              <w:rPr>
                <w:color w:val="000000" w:themeColor="text1"/>
                <w:lang w:eastAsia="lt-LT"/>
              </w:rPr>
              <w:t>1-3</w:t>
            </w:r>
          </w:p>
        </w:tc>
        <w:tc>
          <w:tcPr>
            <w:tcW w:w="4860" w:type="dxa"/>
          </w:tcPr>
          <w:p w14:paraId="385AC554" w14:textId="77777777" w:rsidR="002C6983" w:rsidRPr="000A5914" w:rsidRDefault="002C6983" w:rsidP="000E05E3">
            <w:pPr>
              <w:spacing w:line="360" w:lineRule="auto"/>
              <w:jc w:val="both"/>
              <w:rPr>
                <w:color w:val="000000" w:themeColor="text1"/>
                <w:lang w:eastAsia="lt-LT"/>
              </w:rPr>
            </w:pPr>
            <w:r w:rsidRPr="000A5914">
              <w:rPr>
                <w:color w:val="000000" w:themeColor="text1"/>
                <w:lang w:eastAsia="lt-LT"/>
              </w:rPr>
              <w:t>Non-pharmacological ways</w:t>
            </w:r>
          </w:p>
        </w:tc>
      </w:tr>
      <w:tr w:rsidR="002C6983" w:rsidRPr="000A5914" w14:paraId="663924F5" w14:textId="77777777" w:rsidTr="002C6983">
        <w:trPr>
          <w:jc w:val="center"/>
        </w:trPr>
        <w:tc>
          <w:tcPr>
            <w:tcW w:w="4135" w:type="dxa"/>
          </w:tcPr>
          <w:p w14:paraId="767D1F70" w14:textId="77777777" w:rsidR="002C6983" w:rsidRPr="000A5914" w:rsidRDefault="002C6983" w:rsidP="000E05E3">
            <w:pPr>
              <w:spacing w:line="360" w:lineRule="auto"/>
              <w:jc w:val="center"/>
              <w:rPr>
                <w:color w:val="000000" w:themeColor="text1"/>
                <w:lang w:eastAsia="lt-LT"/>
              </w:rPr>
            </w:pPr>
            <w:r w:rsidRPr="000A5914">
              <w:rPr>
                <w:color w:val="000000" w:themeColor="text1"/>
                <w:lang w:eastAsia="lt-LT"/>
              </w:rPr>
              <w:t>4-6</w:t>
            </w:r>
          </w:p>
        </w:tc>
        <w:tc>
          <w:tcPr>
            <w:tcW w:w="4860" w:type="dxa"/>
          </w:tcPr>
          <w:p w14:paraId="392BF3EA" w14:textId="77777777" w:rsidR="002C6983" w:rsidRPr="000A5914" w:rsidRDefault="002C6983" w:rsidP="000E05E3">
            <w:pPr>
              <w:spacing w:line="360" w:lineRule="auto"/>
              <w:jc w:val="both"/>
              <w:rPr>
                <w:color w:val="000000" w:themeColor="text1"/>
                <w:lang w:eastAsia="lt-LT"/>
              </w:rPr>
            </w:pPr>
            <w:r w:rsidRPr="000A5914">
              <w:rPr>
                <w:color w:val="000000" w:themeColor="text1"/>
                <w:lang w:eastAsia="lt-LT"/>
              </w:rPr>
              <w:t>Acetaminophen and/or NSAID</w:t>
            </w:r>
          </w:p>
        </w:tc>
      </w:tr>
      <w:tr w:rsidR="002C6983" w:rsidRPr="000A5914" w14:paraId="0ED1D9F7" w14:textId="77777777" w:rsidTr="002C6983">
        <w:trPr>
          <w:jc w:val="center"/>
        </w:trPr>
        <w:tc>
          <w:tcPr>
            <w:tcW w:w="4135" w:type="dxa"/>
          </w:tcPr>
          <w:p w14:paraId="394BB9C0" w14:textId="77777777" w:rsidR="002C6983" w:rsidRPr="000A5914" w:rsidRDefault="002C6983" w:rsidP="000E05E3">
            <w:pPr>
              <w:spacing w:line="360" w:lineRule="auto"/>
              <w:jc w:val="center"/>
              <w:rPr>
                <w:color w:val="000000" w:themeColor="text1"/>
                <w:lang w:eastAsia="lt-LT"/>
              </w:rPr>
            </w:pPr>
            <w:r w:rsidRPr="000A5914">
              <w:rPr>
                <w:color w:val="000000" w:themeColor="text1"/>
                <w:lang w:eastAsia="lt-LT"/>
              </w:rPr>
              <w:t>7-10</w:t>
            </w:r>
          </w:p>
        </w:tc>
        <w:tc>
          <w:tcPr>
            <w:tcW w:w="4860" w:type="dxa"/>
          </w:tcPr>
          <w:p w14:paraId="2921C00F" w14:textId="77777777" w:rsidR="002C6983" w:rsidRPr="000A5914" w:rsidRDefault="002C6983" w:rsidP="000E05E3">
            <w:pPr>
              <w:spacing w:line="360" w:lineRule="auto"/>
              <w:jc w:val="both"/>
              <w:rPr>
                <w:color w:val="000000" w:themeColor="text1"/>
                <w:lang w:eastAsia="lt-LT"/>
              </w:rPr>
            </w:pPr>
            <w:r w:rsidRPr="000A5914">
              <w:rPr>
                <w:color w:val="000000" w:themeColor="text1"/>
                <w:lang w:eastAsia="lt-LT"/>
              </w:rPr>
              <w:t>Potent opioids</w:t>
            </w:r>
          </w:p>
        </w:tc>
      </w:tr>
    </w:tbl>
    <w:p w14:paraId="2AC25961" w14:textId="77777777" w:rsidR="002C6983" w:rsidRDefault="002C6983" w:rsidP="002C6983">
      <w:pPr>
        <w:spacing w:line="360" w:lineRule="auto"/>
        <w:jc w:val="center"/>
        <w:rPr>
          <w:b/>
          <w:bCs/>
          <w:i/>
          <w:iCs/>
          <w:color w:val="000000" w:themeColor="text1"/>
          <w:lang w:eastAsia="lt-LT"/>
        </w:rPr>
      </w:pPr>
    </w:p>
    <w:p w14:paraId="40881A81" w14:textId="77777777" w:rsidR="002C6983" w:rsidRDefault="002C6983"/>
    <w:sectPr w:rsidR="002C6983" w:rsidSect="00CB5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A4"/>
    <w:rsid w:val="00062AA0"/>
    <w:rsid w:val="002C6983"/>
    <w:rsid w:val="00A22366"/>
    <w:rsid w:val="00C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2E8"/>
  <w15:chartTrackingRefBased/>
  <w15:docId w15:val="{A428AD72-47EE-4D59-B5EE-1194A04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A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C6983"/>
    <w:rPr>
      <w:rFonts w:eastAsia="Calibri"/>
      <w:sz w:val="20"/>
      <w:szCs w:val="20"/>
      <w:lang w:eastAsia="en-US"/>
    </w:rPr>
  </w:style>
  <w:style w:type="character" w:customStyle="1" w:styleId="CommentTextChar">
    <w:name w:val="Comment Text Char"/>
    <w:basedOn w:val="DefaultParagraphFont"/>
    <w:link w:val="CommentText"/>
    <w:uiPriority w:val="99"/>
    <w:rsid w:val="002C6983"/>
    <w:rPr>
      <w:rFonts w:ascii="Times New Roman" w:eastAsia="Calibri" w:hAnsi="Times New Roman" w:cs="Times New Roman"/>
      <w:sz w:val="20"/>
      <w:szCs w:val="20"/>
      <w:lang w:val="en-GB"/>
    </w:rPr>
  </w:style>
  <w:style w:type="table" w:styleId="TableGrid">
    <w:name w:val="Table Grid"/>
    <w:basedOn w:val="TableNormal"/>
    <w:uiPriority w:val="59"/>
    <w:rsid w:val="002C698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Šimonytė</dc:creator>
  <cp:keywords/>
  <dc:description/>
  <cp:lastModifiedBy>Lina Šimonytė</cp:lastModifiedBy>
  <cp:revision>2</cp:revision>
  <dcterms:created xsi:type="dcterms:W3CDTF">2020-05-15T18:33:00Z</dcterms:created>
  <dcterms:modified xsi:type="dcterms:W3CDTF">2020-05-22T08:48:00Z</dcterms:modified>
</cp:coreProperties>
</file>