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FE1" w:rsidRDefault="00085FE1" w:rsidP="008307C4">
      <w:pPr>
        <w:adjustRightInd w:val="0"/>
        <w:snapToGrid w:val="0"/>
        <w:spacing w:line="360" w:lineRule="exact"/>
        <w:jc w:val="left"/>
        <w:rPr>
          <w:rFonts w:ascii="Times" w:hAnsi="Times"/>
          <w:kern w:val="0"/>
          <w:lang w:val="en-GB"/>
        </w:rPr>
      </w:pPr>
      <w:r w:rsidRPr="00085FE1">
        <w:rPr>
          <w:rFonts w:ascii="Times" w:hAnsi="Times"/>
          <w:kern w:val="0"/>
          <w:lang w:val="en-GB"/>
        </w:rPr>
        <w:t>Dear Editor</w:t>
      </w:r>
    </w:p>
    <w:p w:rsidR="009F1B98" w:rsidRPr="009F1B98" w:rsidRDefault="001C2AA9" w:rsidP="008307C4">
      <w:pPr>
        <w:adjustRightInd w:val="0"/>
        <w:snapToGrid w:val="0"/>
        <w:spacing w:line="360" w:lineRule="exact"/>
        <w:jc w:val="left"/>
        <w:rPr>
          <w:rFonts w:ascii="Times" w:hAnsi="Times"/>
          <w:kern w:val="0"/>
          <w:lang w:val="en-GB"/>
        </w:rPr>
      </w:pPr>
      <w:r>
        <w:rPr>
          <w:rFonts w:ascii="Times" w:hAnsi="Times"/>
          <w:kern w:val="0"/>
          <w:lang w:val="en-GB"/>
        </w:rPr>
        <w:t>Journal of Neuroinflammation</w:t>
      </w:r>
    </w:p>
    <w:p w:rsidR="00085FE1" w:rsidRPr="00085FE1" w:rsidRDefault="00085FE1" w:rsidP="008307C4">
      <w:pPr>
        <w:adjustRightInd w:val="0"/>
        <w:snapToGrid w:val="0"/>
        <w:spacing w:line="360" w:lineRule="exact"/>
        <w:jc w:val="left"/>
        <w:rPr>
          <w:rFonts w:ascii="Times" w:hAnsi="Times"/>
          <w:kern w:val="0"/>
          <w:lang w:val="en-GB"/>
        </w:rPr>
      </w:pPr>
    </w:p>
    <w:p w:rsidR="00085FE1" w:rsidRPr="00FA7E0E" w:rsidRDefault="00085FE1" w:rsidP="00FA7E0E">
      <w:pPr>
        <w:tabs>
          <w:tab w:val="left" w:pos="0"/>
          <w:tab w:val="left" w:pos="426"/>
          <w:tab w:val="left" w:pos="1418"/>
        </w:tabs>
        <w:spacing w:after="240" w:line="480" w:lineRule="exact"/>
        <w:ind w:leftChars="59" w:left="142"/>
        <w:rPr>
          <w:rFonts w:ascii="Times" w:hAnsi="Times"/>
          <w:b/>
        </w:rPr>
      </w:pPr>
      <w:r w:rsidRPr="00085FE1">
        <w:rPr>
          <w:rFonts w:ascii="Times" w:hAnsi="Times"/>
          <w:lang w:val="en-GB"/>
        </w:rPr>
        <w:t>We are herewith submitting our manuscript entitled "</w:t>
      </w:r>
      <w:r w:rsidR="00A84700" w:rsidRPr="00A84700">
        <w:rPr>
          <w:rFonts w:ascii="Times" w:hAnsi="Times"/>
          <w:bCs/>
          <w:iCs/>
          <w:color w:val="000000" w:themeColor="text1"/>
        </w:rPr>
        <w:t xml:space="preserve"> </w:t>
      </w:r>
      <w:r w:rsidR="00FA7E0E" w:rsidRPr="00FA7E0E">
        <w:rPr>
          <w:rFonts w:ascii="Times" w:hAnsi="Times"/>
        </w:rPr>
        <w:t xml:space="preserve">RasV12 </w:t>
      </w:r>
      <w:r w:rsidR="00FA7E0E" w:rsidRPr="00FA7E0E">
        <w:rPr>
          <w:rFonts w:ascii="Times" w:hAnsi="Times" w:cs="Times New Roman"/>
        </w:rPr>
        <w:t xml:space="preserve">expression in </w:t>
      </w:r>
      <w:r w:rsidR="00FA7E0E" w:rsidRPr="00FA7E0E">
        <w:rPr>
          <w:rFonts w:ascii="Times" w:hAnsi="Times"/>
        </w:rPr>
        <w:t xml:space="preserve">microglia </w:t>
      </w:r>
      <w:r w:rsidR="00FA7E0E" w:rsidRPr="00FA7E0E">
        <w:rPr>
          <w:rFonts w:ascii="Times" w:hAnsi="Times" w:cs="Times New Roman"/>
        </w:rPr>
        <w:t>promotes retinal inflammatory circuits and impairment of photoreceptor</w:t>
      </w:r>
      <w:r w:rsidR="00FA7E0E" w:rsidRPr="00FA7E0E">
        <w:rPr>
          <w:rFonts w:ascii="Times" w:hAnsi="Times"/>
        </w:rPr>
        <w:t xml:space="preserve"> </w:t>
      </w:r>
      <w:r w:rsidRPr="00FA7E0E">
        <w:rPr>
          <w:rFonts w:ascii="Times" w:hAnsi="Times"/>
        </w:rPr>
        <w:t>"</w:t>
      </w:r>
      <w:r w:rsidRPr="00085FE1">
        <w:rPr>
          <w:rFonts w:ascii="Times" w:hAnsi="Times"/>
        </w:rPr>
        <w:t>.</w:t>
      </w:r>
    </w:p>
    <w:p w:rsidR="00085FE1" w:rsidRPr="00085FE1" w:rsidRDefault="00085FE1" w:rsidP="008307C4">
      <w:pPr>
        <w:spacing w:line="360" w:lineRule="exact"/>
        <w:jc w:val="left"/>
        <w:rPr>
          <w:rFonts w:ascii="Times" w:hAnsi="Times"/>
        </w:rPr>
      </w:pPr>
    </w:p>
    <w:p w:rsidR="008307C4" w:rsidRPr="00742963" w:rsidRDefault="008307C4" w:rsidP="008307C4">
      <w:pPr>
        <w:tabs>
          <w:tab w:val="left" w:pos="426"/>
          <w:tab w:val="left" w:pos="1418"/>
        </w:tabs>
        <w:spacing w:line="360" w:lineRule="exact"/>
        <w:jc w:val="left"/>
        <w:rPr>
          <w:rFonts w:ascii="Times New Roman" w:hAnsi="Times New Roman"/>
        </w:rPr>
      </w:pPr>
      <w:r w:rsidRPr="00DD42D6">
        <w:rPr>
          <w:rFonts w:ascii="Times New Roman" w:hAnsi="Times New Roman" w:cs="Times New Roman"/>
        </w:rPr>
        <w:t xml:space="preserve">Microglial activation </w:t>
      </w:r>
      <w:r w:rsidRPr="00742963">
        <w:rPr>
          <w:rFonts w:ascii="Times New Roman" w:hAnsi="Times New Roman"/>
        </w:rPr>
        <w:t>is commonly observed in neurodegenerative diseases</w:t>
      </w:r>
      <w:r w:rsidR="00F731F4">
        <w:rPr>
          <w:rFonts w:ascii="Times New Roman" w:hAnsi="Times New Roman"/>
        </w:rPr>
        <w:t>, and recent evidence suggests involvement of microglia in the pathogenesis of diseases associated with neuronal degeneration including retinal neurons</w:t>
      </w:r>
      <w:r w:rsidRPr="00DD42D6">
        <w:rPr>
          <w:rFonts w:ascii="Times New Roman" w:hAnsi="Times New Roman" w:cs="Times New Roman"/>
        </w:rPr>
        <w:t>.</w:t>
      </w:r>
      <w:r w:rsidRPr="00742963">
        <w:rPr>
          <w:rFonts w:ascii="Times New Roman" w:hAnsi="Times New Roman"/>
        </w:rPr>
        <w:t xml:space="preserve"> However, its role in the complex inflammatory network </w:t>
      </w:r>
      <w:r w:rsidRPr="00DD42D6">
        <w:rPr>
          <w:rFonts w:ascii="Times New Roman" w:hAnsi="Times New Roman" w:cs="Times New Roman"/>
        </w:rPr>
        <w:t>remains unclear.</w:t>
      </w:r>
      <w:r w:rsidRPr="00742963">
        <w:rPr>
          <w:rFonts w:ascii="Times New Roman" w:hAnsi="Times New Roman"/>
        </w:rPr>
        <w:t xml:space="preserve"> In this </w:t>
      </w:r>
      <w:r w:rsidRPr="00DD42D6">
        <w:rPr>
          <w:rFonts w:ascii="Times New Roman" w:hAnsi="Times New Roman" w:cs="Times New Roman"/>
        </w:rPr>
        <w:t>study</w:t>
      </w:r>
      <w:r w:rsidRPr="00742963">
        <w:rPr>
          <w:rFonts w:ascii="Times New Roman" w:hAnsi="Times New Roman"/>
        </w:rPr>
        <w:t xml:space="preserve">, we </w:t>
      </w:r>
      <w:r w:rsidRPr="00DD42D6">
        <w:rPr>
          <w:rFonts w:ascii="Times New Roman" w:hAnsi="Times New Roman" w:cs="Times New Roman"/>
        </w:rPr>
        <w:t>generated a microglial activation mouse model</w:t>
      </w:r>
      <w:r w:rsidRPr="00742963">
        <w:rPr>
          <w:rFonts w:ascii="Times New Roman" w:hAnsi="Times New Roman"/>
        </w:rPr>
        <w:t xml:space="preserve"> by </w:t>
      </w:r>
      <w:r w:rsidRPr="00DD42D6">
        <w:rPr>
          <w:rFonts w:ascii="Times New Roman" w:hAnsi="Times New Roman" w:cs="Times New Roman"/>
        </w:rPr>
        <w:t>inducing the expression of a</w:t>
      </w:r>
      <w:r w:rsidRPr="00742963">
        <w:rPr>
          <w:rFonts w:ascii="Times New Roman" w:hAnsi="Times New Roman"/>
        </w:rPr>
        <w:t xml:space="preserve"> constitutively active </w:t>
      </w:r>
      <w:r w:rsidRPr="00DD42D6">
        <w:rPr>
          <w:rFonts w:ascii="Times New Roman" w:hAnsi="Times New Roman" w:cs="Times New Roman"/>
        </w:rPr>
        <w:t xml:space="preserve">form of </w:t>
      </w:r>
      <w:r w:rsidRPr="00742963">
        <w:rPr>
          <w:rFonts w:ascii="Times New Roman" w:hAnsi="Times New Roman"/>
        </w:rPr>
        <w:t>Ras</w:t>
      </w:r>
      <w:r w:rsidRPr="00DD42D6">
        <w:rPr>
          <w:rFonts w:ascii="Times New Roman" w:hAnsi="Times New Roman" w:cs="Times New Roman"/>
        </w:rPr>
        <w:t xml:space="preserve"> in microglia.</w:t>
      </w:r>
      <w:r w:rsidRPr="00742963">
        <w:rPr>
          <w:rFonts w:ascii="Times New Roman" w:hAnsi="Times New Roman"/>
        </w:rPr>
        <w:t xml:space="preserve"> </w:t>
      </w:r>
      <w:r w:rsidRPr="00DD42D6">
        <w:rPr>
          <w:rFonts w:ascii="Times New Roman" w:hAnsi="Times New Roman" w:cs="Times New Roman"/>
        </w:rPr>
        <w:t xml:space="preserve">RasV12 expression in retinal microglial cells promoted </w:t>
      </w:r>
      <w:r w:rsidR="00F731F4">
        <w:rPr>
          <w:rFonts w:ascii="Times New Roman" w:hAnsi="Times New Roman" w:cs="Times New Roman"/>
        </w:rPr>
        <w:t xml:space="preserve">its activation accompanied with activation of </w:t>
      </w:r>
      <w:r w:rsidRPr="00742963">
        <w:rPr>
          <w:rFonts w:ascii="Times New Roman" w:hAnsi="Times New Roman"/>
        </w:rPr>
        <w:t>Müller glia in the retina</w:t>
      </w:r>
      <w:r w:rsidR="002874D2">
        <w:rPr>
          <w:rFonts w:ascii="Times New Roman" w:hAnsi="Times New Roman"/>
        </w:rPr>
        <w:t xml:space="preserve"> in few days after expression of RasV12</w:t>
      </w:r>
      <w:r w:rsidRPr="00742963">
        <w:rPr>
          <w:rFonts w:ascii="Times New Roman" w:hAnsi="Times New Roman"/>
        </w:rPr>
        <w:t xml:space="preserve">. </w:t>
      </w:r>
      <w:r w:rsidR="002874D2">
        <w:rPr>
          <w:rFonts w:ascii="Times New Roman" w:hAnsi="Times New Roman"/>
        </w:rPr>
        <w:t>Interestingly, w</w:t>
      </w:r>
      <w:r w:rsidRPr="00DD42D6">
        <w:rPr>
          <w:rFonts w:ascii="Times New Roman" w:hAnsi="Times New Roman" w:cs="Times New Roman"/>
        </w:rPr>
        <w:t xml:space="preserve">e observed loss of the photoreceptors in </w:t>
      </w:r>
      <w:r w:rsidRPr="00742963">
        <w:rPr>
          <w:rFonts w:ascii="Times New Roman" w:hAnsi="Times New Roman"/>
        </w:rPr>
        <w:t xml:space="preserve">the </w:t>
      </w:r>
      <w:r w:rsidR="002874D2">
        <w:rPr>
          <w:rFonts w:ascii="Times New Roman" w:hAnsi="Times New Roman"/>
        </w:rPr>
        <w:t>ONL</w:t>
      </w:r>
      <w:r w:rsidRPr="00DD42D6">
        <w:rPr>
          <w:rFonts w:ascii="Times New Roman" w:hAnsi="Times New Roman" w:cs="Times New Roman"/>
        </w:rPr>
        <w:t xml:space="preserve"> in close proximity to microglial cells</w:t>
      </w:r>
      <w:r w:rsidR="002874D2">
        <w:rPr>
          <w:rFonts w:ascii="Times New Roman" w:hAnsi="Times New Roman" w:cs="Times New Roman"/>
        </w:rPr>
        <w:t>, suggesting that activation of microglia could lead acute photoreceptor degeneration</w:t>
      </w:r>
      <w:r w:rsidRPr="00DD42D6">
        <w:rPr>
          <w:rFonts w:ascii="Times New Roman" w:hAnsi="Times New Roman" w:cs="Times New Roman"/>
        </w:rPr>
        <w:t>. However, neurodegeneration</w:t>
      </w:r>
      <w:r w:rsidRPr="00742963">
        <w:rPr>
          <w:rFonts w:ascii="Times New Roman" w:hAnsi="Times New Roman"/>
        </w:rPr>
        <w:t xml:space="preserve"> was observed</w:t>
      </w:r>
      <w:r w:rsidRPr="00DD42D6">
        <w:rPr>
          <w:rFonts w:ascii="Times New Roman" w:hAnsi="Times New Roman" w:cs="Times New Roman"/>
        </w:rPr>
        <w:t xml:space="preserve"> in the </w:t>
      </w:r>
      <w:r w:rsidRPr="00742963">
        <w:rPr>
          <w:rFonts w:ascii="Times New Roman" w:hAnsi="Times New Roman"/>
        </w:rPr>
        <w:t xml:space="preserve">INL </w:t>
      </w:r>
      <w:r w:rsidRPr="00DD42D6">
        <w:rPr>
          <w:rFonts w:ascii="Times New Roman" w:hAnsi="Times New Roman" w:cs="Times New Roman"/>
        </w:rPr>
        <w:t>or</w:t>
      </w:r>
      <w:r w:rsidRPr="00742963">
        <w:rPr>
          <w:rFonts w:ascii="Times New Roman" w:hAnsi="Times New Roman"/>
        </w:rPr>
        <w:t xml:space="preserve"> GCL</w:t>
      </w:r>
      <w:r w:rsidR="002874D2">
        <w:rPr>
          <w:rFonts w:ascii="Times New Roman" w:hAnsi="Times New Roman"/>
        </w:rPr>
        <w:t xml:space="preserve"> was not observed although RasV12-microglia migrated to these regions</w:t>
      </w:r>
      <w:r w:rsidRPr="00742963">
        <w:rPr>
          <w:rFonts w:ascii="Times New Roman" w:hAnsi="Times New Roman"/>
        </w:rPr>
        <w:t xml:space="preserve">. </w:t>
      </w:r>
      <w:r w:rsidR="002874D2">
        <w:rPr>
          <w:rFonts w:ascii="Times New Roman" w:hAnsi="Times New Roman" w:cs="Times New Roman"/>
        </w:rPr>
        <w:t>Consistent with specific degeneration in ONL</w:t>
      </w:r>
      <w:r w:rsidRPr="00DD42D6">
        <w:rPr>
          <w:rFonts w:ascii="Times New Roman" w:hAnsi="Times New Roman" w:cs="Times New Roman"/>
        </w:rPr>
        <w:t xml:space="preserve">, we </w:t>
      </w:r>
      <w:r w:rsidRPr="00742963">
        <w:rPr>
          <w:rFonts w:ascii="Times New Roman" w:hAnsi="Times New Roman"/>
        </w:rPr>
        <w:t>found that RasV12-</w:t>
      </w:r>
      <w:r w:rsidRPr="00DD42D6">
        <w:rPr>
          <w:rFonts w:ascii="Times New Roman" w:hAnsi="Times New Roman" w:cs="Times New Roman"/>
        </w:rPr>
        <w:t xml:space="preserve">expressing </w:t>
      </w:r>
      <w:r w:rsidRPr="00742963">
        <w:rPr>
          <w:rFonts w:ascii="Times New Roman" w:hAnsi="Times New Roman"/>
        </w:rPr>
        <w:t xml:space="preserve">microglia in the ONL were </w:t>
      </w:r>
      <w:r w:rsidRPr="00DD42D6">
        <w:rPr>
          <w:rFonts w:ascii="Times New Roman" w:hAnsi="Times New Roman" w:cs="Times New Roman"/>
        </w:rPr>
        <w:t>smaller in</w:t>
      </w:r>
      <w:r w:rsidRPr="00742963">
        <w:rPr>
          <w:rFonts w:ascii="Times New Roman" w:hAnsi="Times New Roman"/>
        </w:rPr>
        <w:t xml:space="preserve"> size and </w:t>
      </w:r>
      <w:r w:rsidRPr="00DD42D6">
        <w:rPr>
          <w:rFonts w:ascii="Times New Roman" w:hAnsi="Times New Roman" w:cs="Times New Roman"/>
        </w:rPr>
        <w:t>engulfed</w:t>
      </w:r>
      <w:r w:rsidRPr="00742963">
        <w:rPr>
          <w:rFonts w:ascii="Times New Roman" w:hAnsi="Times New Roman"/>
        </w:rPr>
        <w:t xml:space="preserve"> photoreceptors</w:t>
      </w:r>
      <w:r w:rsidR="002874D2">
        <w:rPr>
          <w:rFonts w:ascii="Times New Roman" w:hAnsi="Times New Roman" w:cs="Times New Roman"/>
        </w:rPr>
        <w:t>; i</w:t>
      </w:r>
      <w:r w:rsidRPr="00DD42D6">
        <w:rPr>
          <w:rFonts w:ascii="Times New Roman" w:hAnsi="Times New Roman" w:cs="Times New Roman"/>
        </w:rPr>
        <w:t xml:space="preserve">n contrast, the </w:t>
      </w:r>
      <w:r w:rsidRPr="00742963">
        <w:rPr>
          <w:rFonts w:ascii="Times New Roman" w:hAnsi="Times New Roman"/>
        </w:rPr>
        <w:t>morphology of RasV12-</w:t>
      </w:r>
      <w:r w:rsidRPr="00DD42D6">
        <w:rPr>
          <w:rFonts w:ascii="Times New Roman" w:hAnsi="Times New Roman" w:cs="Times New Roman"/>
        </w:rPr>
        <w:t xml:space="preserve">expressing </w:t>
      </w:r>
      <w:r w:rsidRPr="00742963">
        <w:rPr>
          <w:rFonts w:ascii="Times New Roman" w:hAnsi="Times New Roman"/>
        </w:rPr>
        <w:t xml:space="preserve">microglia in </w:t>
      </w:r>
      <w:r>
        <w:rPr>
          <w:rFonts w:ascii="Times New Roman" w:hAnsi="Times New Roman" w:cs="Times New Roman"/>
        </w:rPr>
        <w:t>the GCL</w:t>
      </w:r>
      <w:r w:rsidRPr="00742963">
        <w:rPr>
          <w:rFonts w:ascii="Times New Roman" w:hAnsi="Times New Roman"/>
        </w:rPr>
        <w:t xml:space="preserve"> and INL </w:t>
      </w:r>
      <w:r w:rsidRPr="00DD42D6">
        <w:rPr>
          <w:rFonts w:ascii="Times New Roman" w:hAnsi="Times New Roman" w:cs="Times New Roman"/>
        </w:rPr>
        <w:t>resembled</w:t>
      </w:r>
      <w:r w:rsidRPr="00742963">
        <w:rPr>
          <w:rFonts w:ascii="Times New Roman" w:hAnsi="Times New Roman"/>
        </w:rPr>
        <w:t xml:space="preserve"> resting microglia. </w:t>
      </w:r>
      <w:r w:rsidRPr="00DD42D6">
        <w:rPr>
          <w:rFonts w:ascii="Times New Roman" w:hAnsi="Times New Roman" w:cs="Times New Roman"/>
        </w:rPr>
        <w:t>In conclusion, RasV12-induced microglial activation impaired</w:t>
      </w:r>
      <w:r w:rsidRPr="00742963">
        <w:rPr>
          <w:rFonts w:ascii="Times New Roman" w:hAnsi="Times New Roman"/>
        </w:rPr>
        <w:t xml:space="preserve"> rod photoreceptor</w:t>
      </w:r>
      <w:r w:rsidRPr="00DD42D6">
        <w:rPr>
          <w:rFonts w:ascii="Times New Roman" w:hAnsi="Times New Roman" w:cs="Times New Roman"/>
        </w:rPr>
        <w:t xml:space="preserve"> survival in </w:t>
      </w:r>
      <w:r>
        <w:rPr>
          <w:rFonts w:ascii="Times New Roman" w:hAnsi="Times New Roman" w:cs="Times New Roman"/>
        </w:rPr>
        <w:t xml:space="preserve">the </w:t>
      </w:r>
      <w:r w:rsidRPr="00DD42D6">
        <w:rPr>
          <w:rFonts w:ascii="Times New Roman" w:hAnsi="Times New Roman" w:cs="Times New Roman"/>
        </w:rPr>
        <w:t>ONL</w:t>
      </w:r>
      <w:r w:rsidRPr="00742963">
        <w:rPr>
          <w:rFonts w:ascii="Times New Roman" w:hAnsi="Times New Roman"/>
        </w:rPr>
        <w:t xml:space="preserve">, but </w:t>
      </w:r>
      <w:r w:rsidRPr="00DD42D6">
        <w:rPr>
          <w:rFonts w:ascii="Times New Roman" w:hAnsi="Times New Roman" w:cs="Times New Roman"/>
        </w:rPr>
        <w:t>not</w:t>
      </w:r>
      <w:r w:rsidRPr="00742963">
        <w:rPr>
          <w:rFonts w:ascii="Times New Roman" w:hAnsi="Times New Roman"/>
        </w:rPr>
        <w:t xml:space="preserve"> in </w:t>
      </w:r>
      <w:r w:rsidRPr="00DD42D6">
        <w:rPr>
          <w:rFonts w:ascii="Times New Roman" w:hAnsi="Times New Roman" w:cs="Times New Roman"/>
        </w:rPr>
        <w:t>other regions of the retina</w:t>
      </w:r>
      <w:r w:rsidRPr="00742963">
        <w:rPr>
          <w:rFonts w:ascii="Times New Roman" w:hAnsi="Times New Roman"/>
        </w:rPr>
        <w:t xml:space="preserve">. Therefore, </w:t>
      </w:r>
      <w:r w:rsidR="002874D2">
        <w:rPr>
          <w:rFonts w:ascii="Times New Roman" w:hAnsi="Times New Roman"/>
        </w:rPr>
        <w:t xml:space="preserve">we hypothesized that </w:t>
      </w:r>
      <w:r w:rsidRPr="00742963">
        <w:rPr>
          <w:rFonts w:ascii="Times New Roman" w:hAnsi="Times New Roman"/>
        </w:rPr>
        <w:t xml:space="preserve">microenvironment </w:t>
      </w:r>
      <w:r w:rsidRPr="00DD42D6">
        <w:rPr>
          <w:rFonts w:ascii="Times New Roman" w:hAnsi="Times New Roman" w:cs="Times New Roman"/>
        </w:rPr>
        <w:t>cues</w:t>
      </w:r>
      <w:r w:rsidRPr="00742963">
        <w:rPr>
          <w:rFonts w:ascii="Times New Roman" w:hAnsi="Times New Roman"/>
        </w:rPr>
        <w:t xml:space="preserve"> may </w:t>
      </w:r>
      <w:r w:rsidRPr="00DD42D6">
        <w:rPr>
          <w:rFonts w:ascii="Times New Roman" w:hAnsi="Times New Roman" w:cs="Times New Roman"/>
        </w:rPr>
        <w:t>modulate the</w:t>
      </w:r>
      <w:r w:rsidRPr="00742963">
        <w:rPr>
          <w:rFonts w:ascii="Times New Roman" w:hAnsi="Times New Roman"/>
        </w:rPr>
        <w:t xml:space="preserve"> microglial phenotypic features</w:t>
      </w:r>
      <w:r w:rsidRPr="00DD42D6">
        <w:rPr>
          <w:rFonts w:ascii="Times New Roman" w:hAnsi="Times New Roman" w:cs="Times New Roman"/>
        </w:rPr>
        <w:t xml:space="preserve"> and effects of microglial activation</w:t>
      </w:r>
      <w:r w:rsidRPr="00742963">
        <w:rPr>
          <w:rFonts w:ascii="Times New Roman" w:hAnsi="Times New Roman"/>
        </w:rPr>
        <w:t>.</w:t>
      </w:r>
    </w:p>
    <w:p w:rsidR="00085FE1" w:rsidRDefault="00085FE1" w:rsidP="008307C4">
      <w:pPr>
        <w:spacing w:line="360" w:lineRule="exact"/>
        <w:jc w:val="left"/>
        <w:rPr>
          <w:rFonts w:ascii="Times" w:hAnsi="Times"/>
        </w:rPr>
      </w:pPr>
    </w:p>
    <w:p w:rsidR="00085FE1" w:rsidRPr="00085FE1" w:rsidRDefault="00085FE1" w:rsidP="008307C4">
      <w:pPr>
        <w:widowControl/>
        <w:adjustRightInd w:val="0"/>
        <w:snapToGrid w:val="0"/>
        <w:spacing w:line="360" w:lineRule="exact"/>
        <w:jc w:val="left"/>
        <w:rPr>
          <w:rFonts w:ascii="Times" w:eastAsia="Osaka" w:hAnsi="Times"/>
          <w:kern w:val="0"/>
          <w:lang w:val="en-GB"/>
        </w:rPr>
      </w:pPr>
      <w:r w:rsidRPr="00085FE1">
        <w:rPr>
          <w:rFonts w:ascii="Times" w:eastAsia="Osaka" w:hAnsi="Times"/>
          <w:kern w:val="0"/>
          <w:lang w:val="en-GB"/>
        </w:rPr>
        <w:t xml:space="preserve">Please send all correspondence to Sumiko Watanabe.  </w:t>
      </w:r>
    </w:p>
    <w:p w:rsidR="00085FE1" w:rsidRPr="00AF1C8C" w:rsidRDefault="00085FE1" w:rsidP="008307C4">
      <w:pPr>
        <w:widowControl/>
        <w:adjustRightInd w:val="0"/>
        <w:snapToGrid w:val="0"/>
        <w:spacing w:line="360" w:lineRule="exact"/>
        <w:jc w:val="left"/>
        <w:rPr>
          <w:rFonts w:ascii="Times" w:eastAsia="Osaka" w:hAnsi="Times"/>
          <w:kern w:val="0"/>
        </w:rPr>
      </w:pPr>
      <w:r w:rsidRPr="00085FE1">
        <w:rPr>
          <w:rFonts w:ascii="Times" w:eastAsia="Osaka" w:hAnsi="Times"/>
          <w:kern w:val="0"/>
          <w:lang w:val="en-GB"/>
        </w:rPr>
        <w:t>Thank you for your consideration.</w:t>
      </w:r>
    </w:p>
    <w:p w:rsidR="00085FE1" w:rsidRPr="00085FE1" w:rsidRDefault="00085FE1" w:rsidP="008307C4">
      <w:pPr>
        <w:widowControl/>
        <w:adjustRightInd w:val="0"/>
        <w:snapToGrid w:val="0"/>
        <w:spacing w:line="360" w:lineRule="exact"/>
        <w:jc w:val="left"/>
        <w:rPr>
          <w:rFonts w:ascii="Times" w:eastAsia="Osaka" w:hAnsi="Times"/>
          <w:kern w:val="0"/>
          <w:lang w:val="en-GB"/>
        </w:rPr>
      </w:pPr>
    </w:p>
    <w:p w:rsidR="00085FE1" w:rsidRPr="00085FE1" w:rsidRDefault="00085FE1" w:rsidP="008307C4">
      <w:pPr>
        <w:widowControl/>
        <w:adjustRightInd w:val="0"/>
        <w:snapToGrid w:val="0"/>
        <w:spacing w:line="360" w:lineRule="exact"/>
        <w:jc w:val="left"/>
        <w:rPr>
          <w:rFonts w:ascii="Times" w:eastAsia="Osaka" w:hAnsi="Times"/>
          <w:kern w:val="0"/>
          <w:lang w:val="en-GB"/>
        </w:rPr>
      </w:pPr>
      <w:r w:rsidRPr="00085FE1">
        <w:rPr>
          <w:rFonts w:ascii="Times" w:eastAsia="Osaka" w:hAnsi="Times"/>
          <w:kern w:val="0"/>
          <w:lang w:val="en-GB"/>
        </w:rPr>
        <w:t>Sincerely yours,</w:t>
      </w:r>
    </w:p>
    <w:p w:rsidR="00085FE1" w:rsidRPr="00085FE1" w:rsidRDefault="00085FE1" w:rsidP="008307C4">
      <w:pPr>
        <w:widowControl/>
        <w:adjustRightInd w:val="0"/>
        <w:snapToGrid w:val="0"/>
        <w:spacing w:line="360" w:lineRule="exact"/>
        <w:jc w:val="left"/>
        <w:rPr>
          <w:rFonts w:ascii="Times" w:eastAsia="Osaka" w:hAnsi="Times"/>
          <w:kern w:val="0"/>
          <w:lang w:val="en-GB"/>
        </w:rPr>
      </w:pPr>
    </w:p>
    <w:p w:rsidR="00085FE1" w:rsidRPr="00085FE1" w:rsidRDefault="00085FE1" w:rsidP="008307C4">
      <w:pPr>
        <w:widowControl/>
        <w:adjustRightInd w:val="0"/>
        <w:snapToGrid w:val="0"/>
        <w:spacing w:line="360" w:lineRule="exact"/>
        <w:jc w:val="left"/>
        <w:rPr>
          <w:rFonts w:ascii="Times" w:eastAsia="Osaka" w:hAnsi="Times"/>
          <w:kern w:val="0"/>
          <w:lang w:val="en-GB"/>
        </w:rPr>
      </w:pPr>
      <w:r w:rsidRPr="00085FE1">
        <w:rPr>
          <w:rFonts w:ascii="Times" w:eastAsia="Osaka" w:hAnsi="Times"/>
          <w:kern w:val="0"/>
          <w:lang w:val="en-GB"/>
        </w:rPr>
        <w:tab/>
      </w:r>
      <w:r w:rsidRPr="00085FE1">
        <w:rPr>
          <w:rFonts w:ascii="Times" w:eastAsia="Osaka" w:hAnsi="Times"/>
          <w:kern w:val="0"/>
          <w:lang w:val="en-GB"/>
        </w:rPr>
        <w:tab/>
      </w:r>
      <w:r w:rsidRPr="00085FE1">
        <w:rPr>
          <w:rFonts w:ascii="Times" w:eastAsia="Osaka" w:hAnsi="Times"/>
          <w:kern w:val="0"/>
          <w:lang w:val="en-GB"/>
        </w:rPr>
        <w:tab/>
      </w:r>
      <w:r w:rsidRPr="00085FE1">
        <w:rPr>
          <w:rFonts w:ascii="Times" w:eastAsia="Osaka" w:hAnsi="Times"/>
          <w:kern w:val="0"/>
          <w:lang w:val="en-GB"/>
        </w:rPr>
        <w:tab/>
      </w:r>
      <w:r w:rsidRPr="00085FE1">
        <w:rPr>
          <w:rFonts w:ascii="Times" w:eastAsia="Osaka" w:hAnsi="Times"/>
          <w:kern w:val="0"/>
          <w:lang w:val="en-GB"/>
        </w:rPr>
        <w:tab/>
      </w:r>
      <w:r w:rsidRPr="00085FE1">
        <w:rPr>
          <w:rFonts w:ascii="Times" w:eastAsia="Osaka" w:hAnsi="Times"/>
          <w:kern w:val="0"/>
          <w:lang w:val="en-GB"/>
        </w:rPr>
        <w:tab/>
      </w:r>
      <w:r w:rsidRPr="00085FE1">
        <w:rPr>
          <w:rFonts w:ascii="Times" w:eastAsia="Osaka" w:hAnsi="Times"/>
          <w:kern w:val="0"/>
          <w:lang w:val="en-GB"/>
        </w:rPr>
        <w:tab/>
      </w:r>
      <w:r w:rsidRPr="00085FE1">
        <w:rPr>
          <w:rFonts w:ascii="Times" w:eastAsia="Osaka" w:hAnsi="Times"/>
          <w:kern w:val="0"/>
          <w:lang w:val="en-GB"/>
        </w:rPr>
        <w:tab/>
      </w:r>
      <w:r w:rsidRPr="00085FE1">
        <w:rPr>
          <w:rFonts w:ascii="Times" w:eastAsia="Osaka" w:hAnsi="Times"/>
          <w:kern w:val="0"/>
          <w:lang w:val="en-GB"/>
        </w:rPr>
        <w:tab/>
      </w:r>
    </w:p>
    <w:p w:rsidR="00085FE1" w:rsidRPr="00085FE1" w:rsidRDefault="00085FE1" w:rsidP="008307C4">
      <w:pPr>
        <w:widowControl/>
        <w:adjustRightInd w:val="0"/>
        <w:snapToGrid w:val="0"/>
        <w:spacing w:line="360" w:lineRule="exact"/>
        <w:jc w:val="left"/>
        <w:rPr>
          <w:rFonts w:ascii="Times" w:eastAsia="Osaka" w:hAnsi="Times"/>
          <w:kern w:val="0"/>
          <w:lang w:val="en-GB"/>
        </w:rPr>
      </w:pPr>
      <w:r w:rsidRPr="00085FE1">
        <w:rPr>
          <w:rFonts w:ascii="Times" w:eastAsia="Osaka" w:hAnsi="Times"/>
          <w:kern w:val="0"/>
          <w:lang w:val="en-GB"/>
        </w:rPr>
        <w:t xml:space="preserve">Sumiko Watanabe, </w:t>
      </w:r>
      <w:proofErr w:type="spellStart"/>
      <w:r w:rsidRPr="00085FE1">
        <w:rPr>
          <w:rFonts w:ascii="Times" w:eastAsia="Osaka" w:hAnsi="Times"/>
          <w:kern w:val="0"/>
          <w:lang w:val="en-GB"/>
        </w:rPr>
        <w:t>Ph.D</w:t>
      </w:r>
      <w:proofErr w:type="spellEnd"/>
    </w:p>
    <w:p w:rsidR="00085FE1" w:rsidRPr="00085FE1" w:rsidRDefault="00085FE1" w:rsidP="008307C4">
      <w:pPr>
        <w:widowControl/>
        <w:adjustRightInd w:val="0"/>
        <w:snapToGrid w:val="0"/>
        <w:spacing w:line="360" w:lineRule="exact"/>
        <w:jc w:val="left"/>
        <w:rPr>
          <w:rFonts w:ascii="Times" w:eastAsia="Osaka" w:hAnsi="Times"/>
          <w:kern w:val="0"/>
          <w:lang w:val="en-GB"/>
        </w:rPr>
      </w:pPr>
      <w:r w:rsidRPr="00085FE1">
        <w:rPr>
          <w:rFonts w:ascii="Times" w:eastAsia="Osaka" w:hAnsi="Times"/>
          <w:kern w:val="0"/>
          <w:lang w:val="en-GB"/>
        </w:rPr>
        <w:t>Professor</w:t>
      </w:r>
      <w:bookmarkStart w:id="0" w:name="_GoBack"/>
      <w:bookmarkEnd w:id="0"/>
    </w:p>
    <w:p w:rsidR="00085FE1" w:rsidRPr="00085FE1" w:rsidRDefault="00085FE1" w:rsidP="008307C4">
      <w:pPr>
        <w:widowControl/>
        <w:adjustRightInd w:val="0"/>
        <w:snapToGrid w:val="0"/>
        <w:spacing w:line="360" w:lineRule="exact"/>
        <w:jc w:val="left"/>
        <w:rPr>
          <w:rFonts w:ascii="Times" w:eastAsia="Osaka" w:hAnsi="Times"/>
          <w:kern w:val="0"/>
          <w:lang w:val="en-GB"/>
        </w:rPr>
      </w:pPr>
      <w:r w:rsidRPr="00085FE1">
        <w:rPr>
          <w:rFonts w:ascii="Times" w:eastAsia="Osaka" w:hAnsi="Times"/>
          <w:kern w:val="0"/>
          <w:lang w:val="en-GB"/>
        </w:rPr>
        <w:t>Department of Molecular and</w:t>
      </w:r>
    </w:p>
    <w:p w:rsidR="00085FE1" w:rsidRPr="00085FE1" w:rsidRDefault="00085FE1" w:rsidP="008307C4">
      <w:pPr>
        <w:widowControl/>
        <w:adjustRightInd w:val="0"/>
        <w:snapToGrid w:val="0"/>
        <w:spacing w:line="360" w:lineRule="exact"/>
        <w:jc w:val="left"/>
        <w:rPr>
          <w:rFonts w:ascii="Times" w:eastAsia="Osaka" w:hAnsi="Times"/>
          <w:kern w:val="0"/>
          <w:lang w:val="en-GB"/>
        </w:rPr>
      </w:pPr>
      <w:r w:rsidRPr="00085FE1">
        <w:rPr>
          <w:rFonts w:ascii="Times" w:eastAsia="Osaka" w:hAnsi="Times"/>
          <w:kern w:val="0"/>
          <w:lang w:val="en-GB"/>
        </w:rPr>
        <w:t>Developmental Biology</w:t>
      </w:r>
    </w:p>
    <w:p w:rsidR="00085FE1" w:rsidRPr="00085FE1" w:rsidRDefault="00085FE1" w:rsidP="008307C4">
      <w:pPr>
        <w:widowControl/>
        <w:adjustRightInd w:val="0"/>
        <w:snapToGrid w:val="0"/>
        <w:spacing w:line="360" w:lineRule="exact"/>
        <w:jc w:val="left"/>
        <w:rPr>
          <w:rFonts w:ascii="Times" w:eastAsia="Osaka" w:hAnsi="Times"/>
          <w:kern w:val="0"/>
          <w:lang w:val="en-GB"/>
        </w:rPr>
      </w:pPr>
      <w:r w:rsidRPr="00085FE1">
        <w:rPr>
          <w:rFonts w:ascii="Times" w:eastAsia="Osaka" w:hAnsi="Times"/>
          <w:kern w:val="0"/>
          <w:lang w:val="en-GB"/>
        </w:rPr>
        <w:lastRenderedPageBreak/>
        <w:t>Institute of Medical Science</w:t>
      </w:r>
    </w:p>
    <w:p w:rsidR="00085FE1" w:rsidRPr="00085FE1" w:rsidRDefault="00085FE1" w:rsidP="008307C4">
      <w:pPr>
        <w:widowControl/>
        <w:adjustRightInd w:val="0"/>
        <w:snapToGrid w:val="0"/>
        <w:spacing w:line="360" w:lineRule="exact"/>
        <w:jc w:val="left"/>
        <w:rPr>
          <w:rFonts w:ascii="Times" w:hAnsi="Times"/>
        </w:rPr>
      </w:pPr>
      <w:r w:rsidRPr="00085FE1">
        <w:rPr>
          <w:rFonts w:ascii="Times" w:eastAsia="Osaka" w:hAnsi="Times"/>
          <w:kern w:val="0"/>
          <w:lang w:val="en-GB"/>
        </w:rPr>
        <w:t>University of Toky</w:t>
      </w:r>
      <w:r w:rsidRPr="00085FE1" w:rsidDel="00A716A6">
        <w:rPr>
          <w:rFonts w:ascii="Times" w:eastAsia="Osaka" w:hAnsi="Times"/>
          <w:kern w:val="0"/>
          <w:lang w:val="en-GB"/>
        </w:rPr>
        <w:t>o</w:t>
      </w:r>
    </w:p>
    <w:p w:rsidR="00085FE1" w:rsidRPr="00085FE1" w:rsidRDefault="00085FE1" w:rsidP="008307C4">
      <w:pPr>
        <w:spacing w:line="360" w:lineRule="exact"/>
        <w:jc w:val="left"/>
        <w:rPr>
          <w:rFonts w:ascii="Times" w:hAnsi="Times"/>
        </w:rPr>
      </w:pPr>
    </w:p>
    <w:p w:rsidR="006440D5" w:rsidRDefault="001C2AA9" w:rsidP="008307C4">
      <w:pPr>
        <w:spacing w:line="360" w:lineRule="exact"/>
        <w:jc w:val="left"/>
      </w:pPr>
    </w:p>
    <w:sectPr w:rsidR="006440D5" w:rsidSect="009B6560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E1"/>
    <w:rsid w:val="00084BA5"/>
    <w:rsid w:val="00085FE1"/>
    <w:rsid w:val="001C2AA9"/>
    <w:rsid w:val="001C58F6"/>
    <w:rsid w:val="001D393D"/>
    <w:rsid w:val="002874D2"/>
    <w:rsid w:val="0032766A"/>
    <w:rsid w:val="00421086"/>
    <w:rsid w:val="00472BE0"/>
    <w:rsid w:val="004806C7"/>
    <w:rsid w:val="005C1A36"/>
    <w:rsid w:val="0069734A"/>
    <w:rsid w:val="008066C8"/>
    <w:rsid w:val="008307C4"/>
    <w:rsid w:val="00844486"/>
    <w:rsid w:val="008C30DF"/>
    <w:rsid w:val="0094235D"/>
    <w:rsid w:val="009B6560"/>
    <w:rsid w:val="009F1B98"/>
    <w:rsid w:val="00A26B0A"/>
    <w:rsid w:val="00A84700"/>
    <w:rsid w:val="00A942F1"/>
    <w:rsid w:val="00A95ED7"/>
    <w:rsid w:val="00AF1C8C"/>
    <w:rsid w:val="00B37B5B"/>
    <w:rsid w:val="00BF1779"/>
    <w:rsid w:val="00C613E5"/>
    <w:rsid w:val="00C71584"/>
    <w:rsid w:val="00D6319C"/>
    <w:rsid w:val="00E86178"/>
    <w:rsid w:val="00ED7799"/>
    <w:rsid w:val="00EF45CB"/>
    <w:rsid w:val="00F111A7"/>
    <w:rsid w:val="00F731F4"/>
    <w:rsid w:val="00FA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F7059"/>
  <w15:chartTrackingRefBased/>
  <w15:docId w15:val="{99B81E8D-25CC-4F4D-A499-B85CF7C8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FE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writing">
    <w:name w:val="Paragraph_writing"/>
    <w:qFormat/>
    <w:rsid w:val="00085FE1"/>
    <w:pPr>
      <w:spacing w:line="480" w:lineRule="auto"/>
      <w:contextualSpacing/>
      <w:jc w:val="both"/>
    </w:pPr>
    <w:rPr>
      <w:rFonts w:ascii="Times New Roman" w:eastAsia="ＭＳ 明朝" w:hAnsi="Times New Roman" w:cs="Times New Roman"/>
      <w:kern w:val="0"/>
      <w:sz w:val="24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すみ子</dc:creator>
  <cp:keywords/>
  <dc:description/>
  <cp:lastModifiedBy>渡辺 すみ子</cp:lastModifiedBy>
  <cp:revision>6</cp:revision>
  <dcterms:created xsi:type="dcterms:W3CDTF">2020-04-27T08:20:00Z</dcterms:created>
  <dcterms:modified xsi:type="dcterms:W3CDTF">2020-05-18T08:47:00Z</dcterms:modified>
</cp:coreProperties>
</file>