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2362A" w14:textId="77777777" w:rsidR="00D474C5" w:rsidRDefault="00F9575A">
      <w:pPr>
        <w:widowControl/>
        <w:spacing w:line="36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Supplementary Materials: </w:t>
      </w:r>
    </w:p>
    <w:p w14:paraId="1D44CF50" w14:textId="1DC41857" w:rsidR="00D474C5" w:rsidRDefault="00F9575A">
      <w:pPr>
        <w:widowControl/>
        <w:spacing w:line="360" w:lineRule="auto"/>
        <w:rPr>
          <w:rFonts w:cs="Calibri"/>
          <w:b/>
          <w:bCs/>
        </w:rPr>
      </w:pPr>
      <w:r>
        <w:rPr>
          <w:rFonts w:cs="Calibri" w:hint="eastAsia"/>
          <w:b/>
          <w:bCs/>
          <w:color w:val="000000"/>
          <w:kern w:val="0"/>
          <w:szCs w:val="21"/>
          <w:lang w:bidi="ar"/>
        </w:rPr>
        <w:t>Supplementary Fig. S1</w:t>
      </w:r>
      <w:r>
        <w:rPr>
          <w:rFonts w:cs="Calibri" w:hint="eastAsia"/>
          <w:b/>
        </w:rPr>
        <w:t>.</w:t>
      </w:r>
      <w:r>
        <w:rPr>
          <w:rFonts w:cs="Calibri"/>
          <w:bCs/>
        </w:rPr>
        <w:t xml:space="preserve"> The 20 most significant up-regulated genes and down-regulated genes according to adjusted P values</w:t>
      </w:r>
      <w:r>
        <w:rPr>
          <w:rFonts w:cs="Calibri" w:hint="eastAsia"/>
          <w:bCs/>
        </w:rPr>
        <w:t xml:space="preserve"> </w:t>
      </w:r>
      <w:r>
        <w:rPr>
          <w:rFonts w:cs="Calibri"/>
          <w:bCs/>
        </w:rPr>
        <w:t>based on RRA analysis.</w:t>
      </w:r>
      <w:r>
        <w:rPr>
          <w:rFonts w:cs="Calibri"/>
          <w:bCs/>
        </w:rPr>
        <w:t xml:space="preserve"> Each row in the figure represents one gene and each column is one dataset. Red </w:t>
      </w:r>
      <w:r>
        <w:rPr>
          <w:rFonts w:cs="Calibri"/>
          <w:bCs/>
        </w:rPr>
        <w:t>shows up-regulation and green signifies down-regulation. The numbers in the heatmap squares indicates fold changes (breast cancer. Vs. Normal breast tissue) in each dataset that conducted in the “</w:t>
      </w:r>
      <w:proofErr w:type="spellStart"/>
      <w:r>
        <w:rPr>
          <w:rFonts w:cs="Calibri"/>
          <w:bCs/>
        </w:rPr>
        <w:t>limma</w:t>
      </w:r>
      <w:proofErr w:type="spellEnd"/>
      <w:r>
        <w:rPr>
          <w:rFonts w:cs="Calibri"/>
          <w:bCs/>
        </w:rPr>
        <w:t>” R package.</w:t>
      </w:r>
    </w:p>
    <w:p w14:paraId="73D1F2AC" w14:textId="77777777" w:rsidR="00D474C5" w:rsidRDefault="00F9575A">
      <w:pPr>
        <w:widowControl/>
        <w:spacing w:line="360" w:lineRule="auto"/>
      </w:pPr>
      <w:r>
        <w:rPr>
          <w:rFonts w:cs="Calibri" w:hint="eastAsia"/>
          <w:b/>
          <w:bCs/>
          <w:color w:val="000000"/>
          <w:kern w:val="0"/>
          <w:szCs w:val="21"/>
          <w:lang w:bidi="ar"/>
        </w:rPr>
        <w:t>Supplementary Fig. S2</w:t>
      </w:r>
      <w:r>
        <w:rPr>
          <w:rFonts w:cs="Calibri"/>
          <w:b/>
          <w:bCs/>
        </w:rPr>
        <w:t>.</w:t>
      </w:r>
      <w:r>
        <w:rPr>
          <w:rFonts w:cs="Calibri"/>
        </w:rPr>
        <w:t xml:space="preserve"> The most </w:t>
      </w:r>
      <w:proofErr w:type="spellStart"/>
      <w:r>
        <w:rPr>
          <w:rFonts w:cs="Calibri"/>
        </w:rPr>
        <w:t>signifific</w:t>
      </w:r>
      <w:r>
        <w:rPr>
          <w:rFonts w:cs="Calibri"/>
        </w:rPr>
        <w:t>ant</w:t>
      </w:r>
      <w:proofErr w:type="spellEnd"/>
      <w:r>
        <w:rPr>
          <w:rFonts w:cs="Calibri"/>
        </w:rPr>
        <w:t xml:space="preserve"> module (module1) based on the protein–protein interaction (PPI) network analysis of 512 robust DEGs.</w:t>
      </w:r>
      <w:r>
        <w:t xml:space="preserve"> </w:t>
      </w:r>
    </w:p>
    <w:p w14:paraId="58579CAE" w14:textId="77777777" w:rsidR="00D474C5" w:rsidRDefault="00F9575A">
      <w:pPr>
        <w:widowControl/>
        <w:spacing w:line="360" w:lineRule="auto"/>
        <w:rPr>
          <w:rFonts w:cs="Calibri"/>
          <w:b/>
          <w:bCs/>
        </w:rPr>
      </w:pPr>
      <w:r>
        <w:rPr>
          <w:rFonts w:cs="Calibri" w:hint="eastAsia"/>
          <w:b/>
          <w:bCs/>
          <w:color w:val="000000"/>
          <w:kern w:val="0"/>
          <w:szCs w:val="21"/>
          <w:lang w:bidi="ar"/>
        </w:rPr>
        <w:t>Supplementary Fig. S3</w:t>
      </w:r>
      <w:r>
        <w:rPr>
          <w:rFonts w:cs="Calibri"/>
          <w:b/>
          <w:bCs/>
        </w:rPr>
        <w:t xml:space="preserve">. </w:t>
      </w:r>
      <w:r>
        <w:rPr>
          <w:rFonts w:cs="Calibri"/>
        </w:rPr>
        <w:t>EZH2 are significantly upregulated in BC compared with normal breast tissues in GEPIA database.</w:t>
      </w:r>
      <w:r>
        <w:rPr>
          <w:rFonts w:cs="Calibri"/>
          <w:b/>
          <w:bCs/>
        </w:rPr>
        <w:t xml:space="preserve"> </w:t>
      </w:r>
    </w:p>
    <w:p w14:paraId="3422A424" w14:textId="77777777" w:rsidR="00D474C5" w:rsidRDefault="00F9575A">
      <w:pPr>
        <w:widowControl/>
        <w:spacing w:line="360" w:lineRule="auto"/>
        <w:rPr>
          <w:rFonts w:eastAsia="TimesNewRomanPSMT" w:cs="Calibri"/>
          <w:color w:val="000000"/>
          <w:kern w:val="0"/>
          <w:szCs w:val="21"/>
          <w:lang w:bidi="ar"/>
        </w:rPr>
      </w:pPr>
      <w:r>
        <w:rPr>
          <w:rFonts w:cs="Calibri" w:hint="eastAsia"/>
          <w:b/>
          <w:bCs/>
          <w:color w:val="000000"/>
          <w:kern w:val="0"/>
          <w:szCs w:val="21"/>
          <w:lang w:bidi="ar"/>
        </w:rPr>
        <w:t>Supplementary Fig. S4</w:t>
      </w:r>
      <w:r>
        <w:rPr>
          <w:rFonts w:cs="Calibri"/>
          <w:b/>
          <w:bCs/>
        </w:rPr>
        <w:t xml:space="preserve">. </w:t>
      </w:r>
      <w:r>
        <w:rPr>
          <w:rFonts w:eastAsia="TimesNewRomanPSMT" w:cs="Calibri"/>
          <w:color w:val="000000"/>
          <w:kern w:val="0"/>
          <w:szCs w:val="21"/>
          <w:lang w:bidi="ar"/>
        </w:rPr>
        <w:t>Express</w:t>
      </w:r>
      <w:r>
        <w:rPr>
          <w:rFonts w:eastAsia="TimesNewRomanPSMT" w:cs="Calibri"/>
          <w:color w:val="000000"/>
          <w:kern w:val="0"/>
          <w:szCs w:val="21"/>
          <w:lang w:bidi="ar"/>
        </w:rPr>
        <w:t xml:space="preserve">ion levels of EZH2 is significantly associated with the OS of patients in BC. </w:t>
      </w:r>
    </w:p>
    <w:p w14:paraId="2FFFC641" w14:textId="77777777" w:rsidR="00D474C5" w:rsidRDefault="00F9575A">
      <w:pPr>
        <w:widowControl/>
        <w:spacing w:line="360" w:lineRule="auto"/>
        <w:rPr>
          <w:rFonts w:cs="Calibri"/>
          <w:b/>
          <w:bCs/>
        </w:rPr>
      </w:pPr>
      <w:r>
        <w:rPr>
          <w:rFonts w:cs="Calibri" w:hint="eastAsia"/>
          <w:b/>
          <w:bCs/>
          <w:color w:val="000000"/>
          <w:kern w:val="0"/>
          <w:szCs w:val="21"/>
          <w:lang w:bidi="ar"/>
        </w:rPr>
        <w:t>Supplementary Fig. S5</w:t>
      </w:r>
      <w:r>
        <w:rPr>
          <w:rFonts w:cs="Calibri"/>
          <w:b/>
          <w:bCs/>
        </w:rPr>
        <w:t xml:space="preserve">. </w:t>
      </w:r>
      <w:r>
        <w:rPr>
          <w:rFonts w:eastAsia="TimesNewRomanPSMT" w:cs="Calibri"/>
          <w:color w:val="000000"/>
          <w:kern w:val="0"/>
          <w:szCs w:val="21"/>
          <w:lang w:bidi="ar"/>
        </w:rPr>
        <w:t>cell proliferation related gene-sets were significantly enriched in the high-expression group of EZH2.</w:t>
      </w:r>
      <w:r>
        <w:rPr>
          <w:rFonts w:cs="Calibri"/>
          <w:b/>
          <w:bCs/>
        </w:rPr>
        <w:t xml:space="preserve"> </w:t>
      </w:r>
    </w:p>
    <w:p w14:paraId="026588E7" w14:textId="77777777" w:rsidR="00D474C5" w:rsidRDefault="00F9575A">
      <w:pPr>
        <w:widowControl/>
        <w:spacing w:line="360" w:lineRule="auto"/>
        <w:rPr>
          <w:rFonts w:eastAsia="TimesNewRomanPSMT" w:cs="Calibri"/>
          <w:color w:val="000000"/>
          <w:kern w:val="0"/>
          <w:szCs w:val="21"/>
          <w:lang w:bidi="ar"/>
        </w:rPr>
      </w:pPr>
      <w:r>
        <w:rPr>
          <w:rFonts w:cs="Calibri" w:hint="eastAsia"/>
          <w:b/>
          <w:bCs/>
          <w:color w:val="000000"/>
          <w:kern w:val="0"/>
          <w:szCs w:val="21"/>
          <w:lang w:bidi="ar"/>
        </w:rPr>
        <w:t>Supplementary Fig. S6</w:t>
      </w:r>
      <w:r>
        <w:rPr>
          <w:rFonts w:cs="Calibri"/>
          <w:b/>
          <w:bCs/>
        </w:rPr>
        <w:t xml:space="preserve">. </w:t>
      </w:r>
      <w:r>
        <w:rPr>
          <w:rFonts w:eastAsia="TimesNewRomanPSMT" w:cs="Calibri"/>
          <w:color w:val="000000"/>
          <w:kern w:val="0"/>
          <w:szCs w:val="21"/>
          <w:lang w:bidi="ar"/>
        </w:rPr>
        <w:t>Validation of the mRNA expr</w:t>
      </w:r>
      <w:r>
        <w:rPr>
          <w:rFonts w:eastAsia="TimesNewRomanPSMT" w:cs="Calibri"/>
          <w:color w:val="000000"/>
          <w:kern w:val="0"/>
          <w:szCs w:val="21"/>
          <w:lang w:bidi="ar"/>
        </w:rPr>
        <w:t xml:space="preserve">ession levels of CENPL, ISG20L2, MRPL3 and LSM4 between BC and normal breast tissues based on the TCGA_BRCA and match TCGA normal and </w:t>
      </w:r>
      <w:proofErr w:type="spellStart"/>
      <w:r>
        <w:rPr>
          <w:rFonts w:eastAsia="TimesNewRomanPSMT" w:cs="Calibri"/>
          <w:color w:val="000000"/>
          <w:kern w:val="0"/>
          <w:szCs w:val="21"/>
          <w:lang w:bidi="ar"/>
        </w:rPr>
        <w:t>GTEx</w:t>
      </w:r>
      <w:proofErr w:type="spellEnd"/>
      <w:r>
        <w:rPr>
          <w:rFonts w:eastAsia="TimesNewRomanPSMT" w:cs="Calibri"/>
          <w:color w:val="000000"/>
          <w:kern w:val="0"/>
          <w:szCs w:val="21"/>
          <w:lang w:bidi="ar"/>
        </w:rPr>
        <w:t xml:space="preserve"> data in GEPIA database. </w:t>
      </w:r>
    </w:p>
    <w:p w14:paraId="0C41BEDE" w14:textId="77777777" w:rsidR="00D474C5" w:rsidRDefault="00F9575A">
      <w:pPr>
        <w:spacing w:line="360" w:lineRule="auto"/>
        <w:rPr>
          <w:rFonts w:eastAsia="TimesNewRomanPSMT" w:cs="Calibri"/>
          <w:color w:val="000000"/>
          <w:kern w:val="0"/>
          <w:szCs w:val="21"/>
          <w:lang w:bidi="ar"/>
        </w:rPr>
      </w:pPr>
      <w:r>
        <w:rPr>
          <w:rFonts w:cs="Calibri" w:hint="eastAsia"/>
          <w:b/>
          <w:bCs/>
          <w:color w:val="000000"/>
          <w:kern w:val="0"/>
          <w:szCs w:val="21"/>
          <w:lang w:bidi="ar"/>
        </w:rPr>
        <w:t>Supplementary Fig. S7</w:t>
      </w:r>
      <w:r>
        <w:rPr>
          <w:rFonts w:cs="Calibri" w:hint="eastAsia"/>
          <w:b/>
        </w:rPr>
        <w:t>.</w:t>
      </w:r>
      <w:r>
        <w:rPr>
          <w:rFonts w:cs="Calibri"/>
          <w:bCs/>
        </w:rPr>
        <w:t xml:space="preserve"> Immunohistochemistry staining of expression status of four hub genes </w:t>
      </w:r>
      <w:r>
        <w:rPr>
          <w:rFonts w:cs="Calibri"/>
          <w:bCs/>
        </w:rPr>
        <w:t xml:space="preserve">in breast lobular carcinoma tissues and normal tissues using the Human Protein Atlas (HPA) database. </w:t>
      </w:r>
      <w:r>
        <w:rPr>
          <w:rFonts w:cs="Calibri"/>
          <w:b/>
        </w:rPr>
        <w:t>a</w:t>
      </w:r>
      <w:r>
        <w:rPr>
          <w:rFonts w:cs="Calibri"/>
          <w:bCs/>
        </w:rPr>
        <w:t xml:space="preserve"> shows CENPL expression with HPA044520 antibody</w:t>
      </w:r>
      <w:r>
        <w:rPr>
          <w:rFonts w:cs="Calibri" w:hint="eastAsia"/>
          <w:bCs/>
        </w:rPr>
        <w:t>;</w:t>
      </w:r>
      <w:r>
        <w:rPr>
          <w:rFonts w:cs="Calibri"/>
          <w:bCs/>
        </w:rPr>
        <w:t xml:space="preserve"> </w:t>
      </w:r>
      <w:r>
        <w:rPr>
          <w:rFonts w:cs="Calibri"/>
          <w:b/>
        </w:rPr>
        <w:t>b</w:t>
      </w:r>
      <w:r>
        <w:rPr>
          <w:rFonts w:cs="Calibri"/>
          <w:bCs/>
        </w:rPr>
        <w:t xml:space="preserve"> shows ISG20L2 expression with HPA028005 antibody</w:t>
      </w:r>
      <w:r>
        <w:rPr>
          <w:rFonts w:cs="Calibri" w:hint="eastAsia"/>
          <w:bCs/>
        </w:rPr>
        <w:t>;</w:t>
      </w:r>
      <w:r>
        <w:rPr>
          <w:rFonts w:cs="Calibri"/>
          <w:bCs/>
        </w:rPr>
        <w:t xml:space="preserve"> </w:t>
      </w:r>
      <w:r>
        <w:rPr>
          <w:rFonts w:cs="Calibri"/>
          <w:b/>
        </w:rPr>
        <w:t>c</w:t>
      </w:r>
      <w:r>
        <w:rPr>
          <w:rFonts w:cs="Calibri"/>
          <w:bCs/>
        </w:rPr>
        <w:t xml:space="preserve"> shows LSM4 expression with HPA040932 antibody</w:t>
      </w:r>
      <w:r>
        <w:rPr>
          <w:rFonts w:cs="Calibri" w:hint="eastAsia"/>
          <w:bCs/>
        </w:rPr>
        <w:t>;</w:t>
      </w:r>
      <w:r>
        <w:rPr>
          <w:rFonts w:cs="Calibri"/>
          <w:bCs/>
        </w:rPr>
        <w:t xml:space="preserve"> </w:t>
      </w:r>
      <w:r>
        <w:rPr>
          <w:rFonts w:cs="Calibri"/>
          <w:b/>
        </w:rPr>
        <w:t>d</w:t>
      </w:r>
      <w:r>
        <w:rPr>
          <w:rFonts w:cs="Calibri"/>
          <w:bCs/>
        </w:rPr>
        <w:t xml:space="preserve"> sh</w:t>
      </w:r>
      <w:r>
        <w:rPr>
          <w:rFonts w:cs="Calibri"/>
          <w:bCs/>
        </w:rPr>
        <w:t>ows MRPL3 expression with HPA043665 antibody.</w:t>
      </w:r>
    </w:p>
    <w:p w14:paraId="5143FFED" w14:textId="77777777" w:rsidR="00D474C5" w:rsidRDefault="00F9575A">
      <w:pPr>
        <w:spacing w:line="360" w:lineRule="auto"/>
        <w:rPr>
          <w:rFonts w:eastAsia="TimesNewRomanPSMT" w:cs="Calibri"/>
          <w:color w:val="000000"/>
          <w:kern w:val="0"/>
          <w:szCs w:val="21"/>
          <w:lang w:bidi="ar"/>
        </w:rPr>
      </w:pPr>
      <w:r>
        <w:rPr>
          <w:rFonts w:cs="Calibri" w:hint="eastAsia"/>
          <w:b/>
          <w:bCs/>
          <w:color w:val="000000"/>
          <w:kern w:val="0"/>
          <w:szCs w:val="21"/>
          <w:lang w:bidi="ar"/>
        </w:rPr>
        <w:t>Supplementary Fig. S8</w:t>
      </w:r>
      <w:r>
        <w:rPr>
          <w:rFonts w:cs="Calibri" w:hint="eastAsia"/>
          <w:b/>
        </w:rPr>
        <w:t>.</w:t>
      </w:r>
      <w:r>
        <w:rPr>
          <w:rFonts w:cs="Calibri"/>
          <w:bCs/>
        </w:rPr>
        <w:t xml:space="preserve"> Clustering heatmaps of differentially expressed pathways derived from GSVA of each hub genes in the METABRIC dataset. </w:t>
      </w:r>
      <w:r>
        <w:rPr>
          <w:rFonts w:cs="Calibri"/>
          <w:b/>
        </w:rPr>
        <w:t>a</w:t>
      </w:r>
      <w:r>
        <w:rPr>
          <w:rFonts w:cs="Calibri"/>
          <w:bCs/>
        </w:rPr>
        <w:t xml:space="preserve"> CENPL</w:t>
      </w:r>
      <w:r>
        <w:rPr>
          <w:rFonts w:cs="Calibri" w:hint="eastAsia"/>
          <w:bCs/>
        </w:rPr>
        <w:t xml:space="preserve">; </w:t>
      </w:r>
      <w:r>
        <w:rPr>
          <w:rFonts w:cs="Calibri"/>
          <w:b/>
        </w:rPr>
        <w:t>b</w:t>
      </w:r>
      <w:r>
        <w:rPr>
          <w:rFonts w:cs="Calibri"/>
          <w:bCs/>
        </w:rPr>
        <w:t xml:space="preserve"> ISG20L2</w:t>
      </w:r>
      <w:r>
        <w:rPr>
          <w:rFonts w:cs="Calibri" w:hint="eastAsia"/>
          <w:bCs/>
        </w:rPr>
        <w:t>;</w:t>
      </w:r>
      <w:r>
        <w:rPr>
          <w:rFonts w:cs="Calibri"/>
          <w:bCs/>
        </w:rPr>
        <w:t xml:space="preserve"> </w:t>
      </w:r>
      <w:r>
        <w:rPr>
          <w:rFonts w:cs="Calibri"/>
          <w:b/>
        </w:rPr>
        <w:t>c</w:t>
      </w:r>
      <w:r>
        <w:rPr>
          <w:rFonts w:cs="Calibri"/>
          <w:bCs/>
        </w:rPr>
        <w:t xml:space="preserve"> LSM4 and </w:t>
      </w:r>
      <w:r>
        <w:rPr>
          <w:rFonts w:cs="Calibri"/>
          <w:b/>
        </w:rPr>
        <w:t>d</w:t>
      </w:r>
      <w:r>
        <w:rPr>
          <w:rFonts w:cs="Calibri"/>
          <w:bCs/>
        </w:rPr>
        <w:t xml:space="preserve"> MRPL3.</w:t>
      </w:r>
    </w:p>
    <w:p w14:paraId="38BDF730" w14:textId="77777777" w:rsidR="00D474C5" w:rsidRDefault="00F9575A">
      <w:pPr>
        <w:widowControl/>
        <w:spacing w:line="360" w:lineRule="auto"/>
        <w:rPr>
          <w:rFonts w:cs="Calibri"/>
          <w:color w:val="000000"/>
          <w:kern w:val="0"/>
          <w:szCs w:val="21"/>
          <w:lang w:bidi="ar"/>
        </w:rPr>
      </w:pPr>
      <w:r>
        <w:rPr>
          <w:rFonts w:cs="Calibri" w:hint="eastAsia"/>
          <w:b/>
          <w:bCs/>
          <w:color w:val="000000"/>
          <w:kern w:val="0"/>
          <w:szCs w:val="21"/>
          <w:lang w:bidi="ar"/>
        </w:rPr>
        <w:t>Supplementary Fig. S9</w:t>
      </w:r>
      <w:r>
        <w:rPr>
          <w:rFonts w:cs="Calibri"/>
          <w:b/>
          <w:bCs/>
        </w:rPr>
        <w:t>.</w:t>
      </w:r>
      <w:r>
        <w:rPr>
          <w:rFonts w:eastAsia="TimesNewRomanPSMT" w:cs="Calibri"/>
          <w:color w:val="000000"/>
          <w:kern w:val="0"/>
          <w:szCs w:val="21"/>
          <w:lang w:bidi="ar"/>
        </w:rPr>
        <w:t xml:space="preserve"> Correlation analysis of the mRNA expression levels of CENPL, ISG20L2, LSM4</w:t>
      </w:r>
      <w:r>
        <w:rPr>
          <w:rFonts w:cs="Calibri"/>
          <w:color w:val="000000"/>
          <w:kern w:val="0"/>
          <w:szCs w:val="21"/>
          <w:lang w:bidi="ar"/>
        </w:rPr>
        <w:t>,</w:t>
      </w:r>
      <w:r>
        <w:rPr>
          <w:rFonts w:eastAsia="TimesNewRomanPSMT" w:cs="Calibri"/>
          <w:color w:val="000000"/>
          <w:kern w:val="0"/>
          <w:szCs w:val="21"/>
          <w:lang w:bidi="ar"/>
        </w:rPr>
        <w:t xml:space="preserve"> and MRPL3</w:t>
      </w:r>
      <w:r>
        <w:rPr>
          <w:rFonts w:cs="Calibri"/>
          <w:color w:val="000000"/>
          <w:kern w:val="0"/>
          <w:szCs w:val="21"/>
          <w:lang w:bidi="ar"/>
        </w:rPr>
        <w:t xml:space="preserve"> with EZH2 </w:t>
      </w:r>
      <w:r>
        <w:rPr>
          <w:rFonts w:eastAsia="TimesNewRomanPSMT" w:cs="Calibri"/>
          <w:color w:val="000000"/>
          <w:kern w:val="0"/>
          <w:szCs w:val="21"/>
          <w:lang w:bidi="ar"/>
        </w:rPr>
        <w:t>expression level</w:t>
      </w:r>
      <w:r>
        <w:rPr>
          <w:rFonts w:cs="Calibri"/>
          <w:color w:val="000000"/>
          <w:kern w:val="0"/>
          <w:szCs w:val="21"/>
          <w:lang w:bidi="ar"/>
        </w:rPr>
        <w:t xml:space="preserve"> in BC based on GEPIA database.</w:t>
      </w:r>
    </w:p>
    <w:p w14:paraId="6AC0BDA8" w14:textId="77777777" w:rsidR="00D474C5" w:rsidRDefault="00F9575A">
      <w:pPr>
        <w:spacing w:line="360" w:lineRule="auto"/>
        <w:rPr>
          <w:rFonts w:cs="Calibri"/>
          <w:color w:val="000000"/>
          <w:kern w:val="0"/>
          <w:szCs w:val="21"/>
          <w:lang w:bidi="ar"/>
        </w:rPr>
      </w:pPr>
      <w:r>
        <w:rPr>
          <w:rFonts w:cs="Calibri" w:hint="eastAsia"/>
          <w:b/>
          <w:bCs/>
          <w:color w:val="000000"/>
          <w:kern w:val="0"/>
          <w:szCs w:val="21"/>
          <w:lang w:bidi="ar"/>
        </w:rPr>
        <w:t xml:space="preserve">Supplementary Table S1. </w:t>
      </w:r>
      <w:r>
        <w:rPr>
          <w:rFonts w:cs="Calibri"/>
        </w:rPr>
        <w:t xml:space="preserve">A total of 512 robust DEGs were identified, </w:t>
      </w:r>
      <w:r>
        <w:rPr>
          <w:rFonts w:eastAsia="TimesNewRomanPSMT" w:cs="Calibri"/>
          <w:color w:val="000000"/>
          <w:kern w:val="0"/>
          <w:szCs w:val="21"/>
          <w:lang w:bidi="ar"/>
        </w:rPr>
        <w:t>contain</w:t>
      </w:r>
      <w:r>
        <w:rPr>
          <w:rFonts w:cs="Calibri"/>
          <w:color w:val="000000"/>
          <w:kern w:val="0"/>
          <w:szCs w:val="21"/>
          <w:lang w:bidi="ar"/>
        </w:rPr>
        <w:t>ing</w:t>
      </w:r>
      <w:r>
        <w:rPr>
          <w:rFonts w:eastAsia="TimesNewRomanPSMT" w:cs="Calibri"/>
          <w:color w:val="000000"/>
          <w:kern w:val="0"/>
          <w:szCs w:val="21"/>
          <w:lang w:bidi="ar"/>
        </w:rPr>
        <w:t xml:space="preserve"> 202 up-regulated genes and 310 down-regulated genes</w:t>
      </w:r>
      <w:r>
        <w:rPr>
          <w:rFonts w:cs="Calibri" w:hint="eastAsia"/>
          <w:color w:val="000000"/>
          <w:kern w:val="0"/>
          <w:szCs w:val="21"/>
          <w:lang w:bidi="ar"/>
        </w:rPr>
        <w:t xml:space="preserve"> based on RRA</w:t>
      </w:r>
      <w:r>
        <w:rPr>
          <w:rFonts w:cs="Calibri" w:hint="eastAsia"/>
          <w:color w:val="000000"/>
          <w:kern w:val="0"/>
          <w:szCs w:val="21"/>
          <w:lang w:bidi="ar"/>
        </w:rPr>
        <w:t>.</w:t>
      </w:r>
    </w:p>
    <w:p w14:paraId="7F38D255" w14:textId="77777777" w:rsidR="00D474C5" w:rsidRDefault="00F9575A">
      <w:pPr>
        <w:spacing w:line="360" w:lineRule="auto"/>
        <w:rPr>
          <w:rFonts w:cs="Calibri"/>
          <w:color w:val="000000"/>
          <w:kern w:val="0"/>
          <w:szCs w:val="21"/>
          <w:lang w:bidi="ar"/>
        </w:rPr>
      </w:pPr>
      <w:r>
        <w:rPr>
          <w:rFonts w:cs="Calibri" w:hint="eastAsia"/>
          <w:b/>
          <w:bCs/>
          <w:color w:val="000000"/>
          <w:kern w:val="0"/>
          <w:szCs w:val="21"/>
          <w:lang w:bidi="ar"/>
        </w:rPr>
        <w:t>Supplementary Table S2</w:t>
      </w:r>
      <w:r>
        <w:rPr>
          <w:rFonts w:cs="Calibri" w:hint="eastAsia"/>
          <w:color w:val="000000"/>
          <w:kern w:val="0"/>
          <w:szCs w:val="21"/>
          <w:lang w:bidi="ar"/>
        </w:rPr>
        <w:t xml:space="preserve">. 512 robust </w:t>
      </w:r>
      <w:r>
        <w:rPr>
          <w:rFonts w:cs="Calibri"/>
          <w:color w:val="000000"/>
          <w:kern w:val="0"/>
          <w:szCs w:val="21"/>
          <w:lang w:bidi="ar"/>
        </w:rPr>
        <w:t xml:space="preserve">DEGs were significantly enriched </w:t>
      </w:r>
      <w:r>
        <w:rPr>
          <w:rFonts w:cs="Calibri" w:hint="eastAsia"/>
          <w:color w:val="000000"/>
          <w:kern w:val="0"/>
          <w:szCs w:val="21"/>
          <w:lang w:bidi="ar"/>
        </w:rPr>
        <w:t>in 720</w:t>
      </w:r>
      <w:r>
        <w:rPr>
          <w:rFonts w:cs="Calibri"/>
          <w:color w:val="000000"/>
          <w:kern w:val="0"/>
          <w:szCs w:val="21"/>
          <w:lang w:bidi="ar"/>
        </w:rPr>
        <w:t> </w:t>
      </w:r>
      <w:r>
        <w:rPr>
          <w:rFonts w:cs="Calibri" w:hint="eastAsia"/>
          <w:color w:val="000000"/>
          <w:kern w:val="0"/>
          <w:szCs w:val="21"/>
          <w:lang w:bidi="ar"/>
        </w:rPr>
        <w:t>GO</w:t>
      </w:r>
      <w:r>
        <w:rPr>
          <w:rFonts w:cs="Calibri"/>
          <w:color w:val="000000"/>
          <w:kern w:val="0"/>
          <w:szCs w:val="21"/>
          <w:lang w:bidi="ar"/>
        </w:rPr>
        <w:t xml:space="preserve"> terms</w:t>
      </w:r>
      <w:r>
        <w:rPr>
          <w:rFonts w:cs="Calibri" w:hint="eastAsia"/>
          <w:color w:val="000000"/>
          <w:kern w:val="0"/>
          <w:szCs w:val="21"/>
          <w:lang w:bidi="ar"/>
        </w:rPr>
        <w:t>.</w:t>
      </w:r>
    </w:p>
    <w:p w14:paraId="4C158BD1" w14:textId="06E68186" w:rsidR="00D474C5" w:rsidRPr="00F9575A" w:rsidRDefault="00F9575A" w:rsidP="00F9575A">
      <w:pPr>
        <w:spacing w:line="360" w:lineRule="auto"/>
        <w:rPr>
          <w:rFonts w:cs="Calibri" w:hint="eastAsia"/>
          <w:b/>
        </w:rPr>
      </w:pPr>
      <w:r>
        <w:rPr>
          <w:rFonts w:cs="Calibri" w:hint="eastAsia"/>
          <w:b/>
          <w:bCs/>
          <w:color w:val="000000"/>
          <w:kern w:val="0"/>
          <w:szCs w:val="21"/>
          <w:lang w:bidi="ar"/>
        </w:rPr>
        <w:t>Supplementary Table S</w:t>
      </w:r>
      <w:r>
        <w:rPr>
          <w:rFonts w:cs="Calibri" w:hint="eastAsia"/>
          <w:b/>
          <w:bCs/>
          <w:color w:val="000000"/>
          <w:kern w:val="0"/>
          <w:szCs w:val="21"/>
          <w:lang w:bidi="ar"/>
        </w:rPr>
        <w:t>3</w:t>
      </w:r>
      <w:r>
        <w:rPr>
          <w:rFonts w:cs="Calibri" w:hint="eastAsia"/>
          <w:color w:val="000000"/>
          <w:kern w:val="0"/>
          <w:szCs w:val="21"/>
          <w:lang w:bidi="ar"/>
        </w:rPr>
        <w:t>.</w:t>
      </w:r>
      <w:r>
        <w:rPr>
          <w:rFonts w:cs="Calibri" w:hint="eastAsia"/>
          <w:color w:val="000000"/>
          <w:kern w:val="0"/>
          <w:szCs w:val="21"/>
          <w:lang w:bidi="ar"/>
        </w:rPr>
        <w:t xml:space="preserve"> </w:t>
      </w:r>
      <w:r>
        <w:rPr>
          <w:rFonts w:cs="Calibri" w:hint="eastAsia"/>
          <w:color w:val="000000"/>
          <w:kern w:val="0"/>
          <w:szCs w:val="21"/>
          <w:lang w:bidi="ar"/>
        </w:rPr>
        <w:t xml:space="preserve">512 robust </w:t>
      </w:r>
      <w:r>
        <w:rPr>
          <w:rFonts w:cs="Calibri"/>
          <w:color w:val="000000"/>
          <w:kern w:val="0"/>
          <w:szCs w:val="21"/>
          <w:lang w:bidi="ar"/>
        </w:rPr>
        <w:t xml:space="preserve">DEGs were significantly enriched </w:t>
      </w:r>
      <w:r>
        <w:rPr>
          <w:rFonts w:cs="Calibri" w:hint="eastAsia"/>
          <w:color w:val="000000"/>
          <w:kern w:val="0"/>
          <w:szCs w:val="21"/>
          <w:lang w:bidi="ar"/>
        </w:rPr>
        <w:t>in 9</w:t>
      </w:r>
      <w:r>
        <w:rPr>
          <w:rFonts w:cs="Calibri"/>
          <w:color w:val="000000"/>
          <w:kern w:val="0"/>
          <w:szCs w:val="21"/>
          <w:lang w:bidi="ar"/>
        </w:rPr>
        <w:t> KEGG pathways</w:t>
      </w:r>
      <w:r>
        <w:rPr>
          <w:rFonts w:cs="Calibri" w:hint="eastAsia"/>
          <w:color w:val="000000"/>
          <w:kern w:val="0"/>
          <w:szCs w:val="21"/>
          <w:lang w:bidi="ar"/>
        </w:rPr>
        <w:t>.</w:t>
      </w:r>
    </w:p>
    <w:sectPr w:rsidR="00D474C5" w:rsidRPr="00F95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294"/>
    <w:rsid w:val="00066294"/>
    <w:rsid w:val="00973236"/>
    <w:rsid w:val="00D474C5"/>
    <w:rsid w:val="00F9575A"/>
    <w:rsid w:val="351C59B3"/>
    <w:rsid w:val="35B64E54"/>
    <w:rsid w:val="35C67837"/>
    <w:rsid w:val="5685754C"/>
    <w:rsid w:val="574F3369"/>
    <w:rsid w:val="7D3B55F9"/>
    <w:rsid w:val="7FC4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E6E46"/>
  <w15:docId w15:val="{925F9CFA-2235-4823-849F-E93DE833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2020-08-19T01:24:00Z</dcterms:created>
  <dcterms:modified xsi:type="dcterms:W3CDTF">2021-03-04T07:32:00Z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