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F26E" w14:textId="77777777" w:rsidR="00E60BE9" w:rsidRDefault="00E60BE9" w:rsidP="00E60BE9">
      <w:pPr>
        <w:spacing w:line="48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Supplement Table 4.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Enriched gene sets.</w:t>
      </w: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1654"/>
        <w:gridCol w:w="6500"/>
        <w:gridCol w:w="567"/>
        <w:gridCol w:w="567"/>
        <w:gridCol w:w="773"/>
      </w:tblGrid>
      <w:tr w:rsidR="00E60BE9" w:rsidRPr="00230BD4" w14:paraId="42EC4912" w14:textId="77777777" w:rsidTr="004D0CA9">
        <w:trPr>
          <w:trHeight w:val="410"/>
          <w:jc w:val="center"/>
        </w:trPr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D3ADB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proofErr w:type="spellStart"/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MSigDB</w:t>
            </w:r>
            <w:proofErr w:type="spellEnd"/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 xml:space="preserve"> collection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7B5AF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Gene set name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1B10C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NES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1F539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NOM p-</w:t>
            </w:r>
            <w:proofErr w:type="spellStart"/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val</w:t>
            </w:r>
            <w:proofErr w:type="spellEnd"/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959B5" w14:textId="77777777" w:rsidR="00E60BE9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 xml:space="preserve">FDR </w:t>
            </w:r>
          </w:p>
          <w:p w14:paraId="428351F7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q-</w:t>
            </w:r>
            <w:proofErr w:type="spellStart"/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val</w:t>
            </w:r>
            <w:proofErr w:type="spellEnd"/>
          </w:p>
        </w:tc>
      </w:tr>
      <w:tr w:rsidR="00E60BE9" w:rsidRPr="00230BD4" w14:paraId="606565EE" w14:textId="77777777" w:rsidTr="004D0CA9">
        <w:trPr>
          <w:trHeight w:val="280"/>
          <w:jc w:val="center"/>
        </w:trPr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174B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c2.cp.kegg.v7.2.symbols.gmt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DB2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7C79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A63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0BE9" w:rsidRPr="00230BD4" w14:paraId="4D12DC0E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3D9E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CELE10A high expression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E4B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KEGG_ANTIGEN_PROCESSING_AND_PRESENTATION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2931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49C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F84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2.15×10-4</w:t>
            </w:r>
          </w:p>
        </w:tc>
      </w:tr>
      <w:tr w:rsidR="00E60BE9" w:rsidRPr="00230BD4" w14:paraId="4DE233E9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DDB9" w14:textId="77777777" w:rsidR="00E60BE9" w:rsidRPr="00230BD4" w:rsidRDefault="00E60BE9" w:rsidP="004D0CA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DD7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KEGG_B_CELL_RECEPTOR_SIGNALING_PATHWAY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FB5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AFC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334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4AFE7D45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5AEA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CB14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KEGG_FC_EPSILON_RI_SIGNALING_PATHWAY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92B5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ECC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11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0CB6E35F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9AF5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6924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KEGG_FC_GAMMA_R_MEDIATED_PHAGOCYTOSIS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681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00C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425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0CA1A220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6244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B1BB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KEGG_HEMATOPOIETIC_CELL_LINEAGE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236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9C5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E01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0AF2E9EF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5D3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502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KEGG_LEUKOCYTE_TRANSENDOTHELIAL_MIGRATION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7447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2.553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442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83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09970E58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2448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94E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KEGG_NATURAL_KILLER_CELL_MEDIATED_CYTOTOXICITY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CA8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2.587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34AB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394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4A6D7240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F6D3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09D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KEGG_T_CELL_RECEPTOR_SIGNALING_PATHWAY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1736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ABB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926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0D997279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ED5F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CELE10A low expression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337A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KEGG_GLYCOSYLPHOSPHATIDYLINOSITOL_GPI_ANCHOR_BIOSYNTHESIS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7A42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-2.143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EC86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383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0.008</w:t>
            </w:r>
          </w:p>
        </w:tc>
      </w:tr>
      <w:tr w:rsidR="00E60BE9" w:rsidRPr="00230BD4" w14:paraId="3CB203D5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432E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c7.all.v7.2.symbols.gmt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088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FC8E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AE8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1EC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0BE9" w:rsidRPr="00230BD4" w14:paraId="4F2970FE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598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CELE10A high expression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912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GSE3039_CD4_TCELL_VS_ALPHABETA_CD8_TCELL_UP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1DD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0.740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B8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ED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0E0E0A56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AB5A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3E76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GSE4590_SMALL_VS_LARGE_PRE_BCELL_UP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97F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4CE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A3F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55F9FF83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489A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211A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GSE19888_ADENOSINE_A3R_INH_VS_ACT_IN_MAST_CELL_DN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E2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22E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F25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24E48535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32F5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033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GSE21380_NON_TFH_VS_TFH_CD4_TCELL_UP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FD4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9B4E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EB9B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51D716A0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0B4E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35B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GSE23925_LIGHT_ZONE_VS_NAIVE_BCELL_UP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AC5C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2.791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A77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74A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11F502D0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E2AC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58F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GSE24142_EARLY_THYMIC_PROGENITOR_VS_DN3_THYMOCYTE_DN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06D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AA4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5A3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247877E6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BCF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184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GSE40274_CTRL_VS_FOXP3_AND_LEF1_TRANSDUCED_ACTIVATED_CD4_TCELL_UP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5C2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803E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048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7FEE3239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7FCE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617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GSE43863_LY6C_INT_CXCR5POS_VS_LY6C_LOW_CXCR5NEG_EFFECTOR_CD4_TCELL_DN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B8B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2.789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F83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3A2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1D4C9D1C" w14:textId="77777777" w:rsidTr="004D0CA9">
        <w:trPr>
          <w:trHeight w:val="280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B44F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16D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KAECH_NAIVE_VS_MEMORY_CD8_TCELL_DN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DA4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2.726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449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BF10" w14:textId="77777777" w:rsidR="00E60BE9" w:rsidRPr="00230BD4" w:rsidRDefault="00E60BE9" w:rsidP="004D0CA9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</w:pPr>
            <w:r w:rsidRPr="00230BD4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</w:tr>
      <w:tr w:rsidR="00E60BE9" w:rsidRPr="00230BD4" w14:paraId="4D3A0F20" w14:textId="77777777" w:rsidTr="004D0CA9">
        <w:trPr>
          <w:trHeight w:val="290"/>
          <w:jc w:val="center"/>
        </w:trPr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FBEA" w14:textId="77777777" w:rsidR="00E60BE9" w:rsidRPr="00230BD4" w:rsidRDefault="00E60BE9" w:rsidP="004D0CA9">
            <w:pPr>
              <w:widowControl/>
              <w:jc w:val="left"/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231F20"/>
                <w:kern w:val="0"/>
                <w:sz w:val="15"/>
                <w:szCs w:val="15"/>
              </w:rPr>
              <w:t>CELE10A low expression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3F116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4B1DC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08BB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D688" w14:textId="77777777" w:rsidR="00E60BE9" w:rsidRPr="00230BD4" w:rsidRDefault="00E60BE9" w:rsidP="004D0C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230BD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</w:tr>
    </w:tbl>
    <w:p w14:paraId="476311CC" w14:textId="77777777" w:rsidR="00E60BE9" w:rsidRDefault="00E60BE9" w:rsidP="00E60BE9">
      <w:pPr>
        <w:spacing w:line="400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NES: normalized enrichment score; NOM: nominal p-value; FDR: false discovery rate. Gene sets with </w:t>
      </w:r>
      <w:r>
        <w:rPr>
          <w:rFonts w:ascii="Times New Roman" w:eastAsia="宋体" w:hAnsi="Times New Roman" w:cs="Times New Roman"/>
          <w:sz w:val="24"/>
          <w:szCs w:val="24"/>
        </w:rPr>
        <w:t xml:space="preserve">NOM p-value less than 0.05 and FDR q-value less than 0.05 were considered as statistical significance. Only several leading sets enriched in CELE10A high expression both in </w:t>
      </w:r>
      <w:r w:rsidRPr="00230BD4">
        <w:rPr>
          <w:rFonts w:ascii="Times New Roman" w:eastAsia="宋体" w:hAnsi="Times New Roman" w:cs="Times New Roman"/>
          <w:sz w:val="24"/>
          <w:szCs w:val="24"/>
        </w:rPr>
        <w:t>c2.cp.kegg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C7 were listed here due to the large number of enriched gene sets.</w:t>
      </w:r>
    </w:p>
    <w:p w14:paraId="38D342A4" w14:textId="77777777" w:rsidR="007F6C1A" w:rsidRPr="00E60BE9" w:rsidRDefault="007F6C1A"/>
    <w:sectPr w:rsidR="007F6C1A" w:rsidRPr="00E60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249E" w14:textId="77777777" w:rsidR="00F77B91" w:rsidRDefault="00F77B91" w:rsidP="00E60BE9">
      <w:r>
        <w:separator/>
      </w:r>
    </w:p>
  </w:endnote>
  <w:endnote w:type="continuationSeparator" w:id="0">
    <w:p w14:paraId="3974522B" w14:textId="77777777" w:rsidR="00F77B91" w:rsidRDefault="00F77B91" w:rsidP="00E6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28000ce1.B">
    <w:altName w:val="Times New Roman"/>
    <w:panose1 w:val="00000000000000000000"/>
    <w:charset w:val="00"/>
    <w:family w:val="roman"/>
    <w:notTrueType/>
    <w:pitch w:val="default"/>
  </w:font>
  <w:font w:name="AdvTT5235d5a9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0510" w14:textId="77777777" w:rsidR="00F77B91" w:rsidRDefault="00F77B91" w:rsidP="00E60BE9">
      <w:r>
        <w:separator/>
      </w:r>
    </w:p>
  </w:footnote>
  <w:footnote w:type="continuationSeparator" w:id="0">
    <w:p w14:paraId="05BA1534" w14:textId="77777777" w:rsidR="00F77B91" w:rsidRDefault="00F77B91" w:rsidP="00E6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84"/>
    <w:rsid w:val="007F6C1A"/>
    <w:rsid w:val="00B05684"/>
    <w:rsid w:val="00E60BE9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374C-F21E-4CFD-B2F8-301A5AD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BE9"/>
    <w:rPr>
      <w:sz w:val="18"/>
      <w:szCs w:val="18"/>
    </w:rPr>
  </w:style>
  <w:style w:type="character" w:customStyle="1" w:styleId="fontstyle01">
    <w:name w:val="fontstyle01"/>
    <w:basedOn w:val="a0"/>
    <w:rsid w:val="00E60BE9"/>
    <w:rPr>
      <w:rFonts w:ascii="AdvTT28000ce1.B" w:hAnsi="AdvTT28000ce1.B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a0"/>
    <w:rsid w:val="00E60BE9"/>
    <w:rPr>
      <w:rFonts w:ascii="AdvTT5235d5a9" w:hAnsi="AdvTT5235d5a9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 梦娇</dc:creator>
  <cp:keywords/>
  <dc:description/>
  <cp:lastModifiedBy>阮 梦娇</cp:lastModifiedBy>
  <cp:revision>2</cp:revision>
  <dcterms:created xsi:type="dcterms:W3CDTF">2021-02-27T08:35:00Z</dcterms:created>
  <dcterms:modified xsi:type="dcterms:W3CDTF">2021-02-27T08:35:00Z</dcterms:modified>
</cp:coreProperties>
</file>