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CFC8" w14:textId="5BECCA2C" w:rsidR="00B46FC9" w:rsidRDefault="006509DB" w:rsidP="006509DB">
      <w:pPr>
        <w:pStyle w:val="Heading1"/>
      </w:pPr>
      <w:r>
        <w:t xml:space="preserve">How do we Calculate Sample </w:t>
      </w:r>
      <w:r w:rsidR="00572E4B">
        <w:t>Size?</w:t>
      </w:r>
    </w:p>
    <w:p w14:paraId="558AFA8F" w14:textId="7D3683F3" w:rsidR="00231C4E" w:rsidRPr="005528D1" w:rsidRDefault="00231C4E" w:rsidP="006509DB">
      <w:pPr>
        <w:rPr>
          <w:rStyle w:val="fontstyle01"/>
          <w:color w:val="000000" w:themeColor="text1"/>
        </w:rPr>
      </w:pPr>
      <w:r w:rsidRPr="005528D1">
        <w:rPr>
          <w:rStyle w:val="fontstyle01"/>
          <w:color w:val="000000" w:themeColor="text1"/>
        </w:rPr>
        <w:t xml:space="preserve">Based on a formula in </w:t>
      </w:r>
      <w:r w:rsidR="005F04A9">
        <w:rPr>
          <w:rStyle w:val="fontstyle01"/>
          <w:color w:val="000000" w:themeColor="text1"/>
        </w:rPr>
        <w:t>book “Oxford hand book of medical statistics”</w:t>
      </w:r>
    </w:p>
    <w:p w14:paraId="26669991" w14:textId="6762FE99" w:rsidR="006509DB" w:rsidRPr="005528D1" w:rsidRDefault="005F04A9" w:rsidP="005F04A9">
      <w:pPr>
        <w:rPr>
          <w:rStyle w:val="fontstyle01"/>
          <w:color w:val="000000" w:themeColor="text1"/>
        </w:rPr>
      </w:pPr>
      <w:r>
        <w:rPr>
          <w:color w:val="222222"/>
          <w:shd w:val="clear" w:color="auto" w:fill="FFFFFF"/>
        </w:rPr>
        <w:t>We used a power of 99</w:t>
      </w:r>
      <w:r w:rsidRPr="004F7EF9">
        <w:rPr>
          <w:color w:val="222222"/>
          <w:shd w:val="clear" w:color="auto" w:fill="FFFFFF"/>
        </w:rPr>
        <w:t>%</w:t>
      </w:r>
      <w:r>
        <w:rPr>
          <w:color w:val="222222"/>
          <w:shd w:val="clear" w:color="auto" w:fill="FFFFFF"/>
        </w:rPr>
        <w:t xml:space="preserve">, two tails test and 95% confidence level with </w:t>
      </w:r>
      <w:r>
        <w:rPr>
          <w:color w:val="000000"/>
        </w:rPr>
        <w:t>1:1 allocation ratio</w:t>
      </w:r>
      <w:r>
        <w:rPr>
          <w:color w:val="222222"/>
          <w:shd w:val="clear" w:color="auto" w:fill="FFFFFF"/>
        </w:rPr>
        <w:t>. Each treatment arm requires thirty-four</w:t>
      </w:r>
      <w:r w:rsidRPr="006715B8">
        <w:rPr>
          <w:color w:val="222222"/>
          <w:shd w:val="clear" w:color="auto" w:fill="FFFFFF"/>
        </w:rPr>
        <w:t xml:space="preserve"> </w:t>
      </w:r>
      <w:r>
        <w:rPr>
          <w:color w:val="222222"/>
          <w:shd w:val="clear" w:color="auto" w:fill="FFFFFF"/>
        </w:rPr>
        <w:t>patients , K =18.4</w:t>
      </w:r>
      <w:r>
        <w:rPr>
          <w:color w:val="222222"/>
          <w:shd w:val="clear" w:color="auto" w:fill="FFFFFF"/>
        </w:rPr>
        <w:fldChar w:fldCharType="begin"/>
      </w:r>
      <w:r>
        <w:rPr>
          <w:color w:val="222222"/>
          <w:shd w:val="clear" w:color="auto" w:fill="FFFFFF"/>
        </w:rPr>
        <w:instrText xml:space="preserve"> ADDIN ZOTERO_ITEM CSL_CITATION {"citationID":"vUNymYaT","properties":{"formattedCitation":"[1,2]","plainCitation":"[1,2]","noteIndex":0},"citationItems":[{"id":1679,"uris":["http://zotero.org/users/4623622/items/PTWA3D9H"],"uri":["http://zotero.org/users/4623622/items/PTWA3D9H"],"itemData":{"id":1679,"type":"book","abstract":"\"Oxford Handbook of Medical Statistics\" published on  by Oxford University Press.","edition":"2nd","ISBN":"978-0-19-180320-8","language":"en_US","note":"container-title: Oxford Handbook of Medical Statistics","number-of-pages":"96-97","publisher":"Oxford University Press","source":"oxfordmedicine.com","title":"Oxford Handbook of Medical Statistics","URL":"https://oxfordmedicine.com/view/10.1093/med/9780198743583.001.0001/med-9780198743583","author":[{"family":"Peacock","given":"Janet L."},{"family":"Peacock","given":"Phil J."}],"accessed":{"date-parts":[["2021",2,11]]}},"label":"page"},{"id":1680,"uris":["http://zotero.org/users/4623622/items/3I6DTVP8"],"uri":["http://zotero.org/users/4623622/items/3I6DTVP8"],"itemData":{"id":1680,"type":"article-journal","abstract":"The present review introduces the notion of statistical power and the hazard of under-powered studies. The problem of how to calculate an ideal sample size is also discussed within the context of factors that affect power, and specific methods for the calculation of sample size are presented for two common scenarios, along with extensions to the simplest case.","container-title":"Critical Care","ISSN":"1364-8535","issue":"4","journalAbbreviation":"Crit Care","note":"PMID: 12225610\nPMCID: PMC137461","page":"335-341","source":"PubMed Central","title":"Statistics review 4: Sample size calculations","title-short":"Statistics review 4","volume":"6","author":[{"family":"Whitley","given":"Elise"},{"family":"Ball","given":"Jonathan"}],"issued":{"date-parts":[["2002"]]}},"label":"page"}],"schema":"https://github.com/citation-style-language/schema/raw/master/csl-citation.json"} </w:instrText>
      </w:r>
      <w:r>
        <w:rPr>
          <w:color w:val="222222"/>
          <w:shd w:val="clear" w:color="auto" w:fill="FFFFFF"/>
        </w:rPr>
        <w:fldChar w:fldCharType="separate"/>
      </w:r>
      <w:r w:rsidRPr="005F04A9">
        <w:rPr>
          <w:rFonts w:ascii="Calibri" w:hAnsi="Calibri" w:cs="Calibri"/>
        </w:rPr>
        <w:t>[1,2]</w:t>
      </w:r>
      <w:r>
        <w:rPr>
          <w:color w:val="222222"/>
          <w:shd w:val="clear" w:color="auto" w:fill="FFFFFF"/>
        </w:rPr>
        <w:fldChar w:fldCharType="end"/>
      </w:r>
      <w:r>
        <w:rPr>
          <w:rStyle w:val="Hyperlink"/>
          <w:color w:val="000000" w:themeColor="text1"/>
        </w:rPr>
        <w:t>.</w:t>
      </w:r>
    </w:p>
    <w:p w14:paraId="53EDBF64" w14:textId="40385C06" w:rsidR="00666FB4" w:rsidRPr="008C0C68" w:rsidRDefault="00666FB4" w:rsidP="006509DB">
      <w:pPr>
        <w:rPr>
          <w:rStyle w:val="fontstyle01"/>
          <w:color w:val="auto"/>
        </w:rPr>
      </w:pPr>
      <w:r>
        <w:rPr>
          <w:noProof/>
        </w:rPr>
        <w:drawing>
          <wp:inline distT="0" distB="0" distL="0" distR="0" wp14:anchorId="4D2F3B28" wp14:editId="27FD4A5F">
            <wp:extent cx="38290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9050" cy="1171575"/>
                    </a:xfrm>
                    <a:prstGeom prst="rect">
                      <a:avLst/>
                    </a:prstGeom>
                  </pic:spPr>
                </pic:pic>
              </a:graphicData>
            </a:graphic>
          </wp:inline>
        </w:drawing>
      </w:r>
    </w:p>
    <w:p w14:paraId="70D78927" w14:textId="17B585EC" w:rsidR="00666FB4" w:rsidRDefault="00666FB4" w:rsidP="008C0C68">
      <w:pPr>
        <w:rPr>
          <w:rStyle w:val="fontstyle01"/>
          <w:color w:val="auto"/>
        </w:rPr>
      </w:pPr>
      <w:r>
        <w:rPr>
          <w:noProof/>
        </w:rPr>
        <w:drawing>
          <wp:inline distT="0" distB="0" distL="0" distR="0" wp14:anchorId="29DF5FD0" wp14:editId="7131CAC7">
            <wp:extent cx="5486400" cy="2292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292985"/>
                    </a:xfrm>
                    <a:prstGeom prst="rect">
                      <a:avLst/>
                    </a:prstGeom>
                  </pic:spPr>
                </pic:pic>
              </a:graphicData>
            </a:graphic>
          </wp:inline>
        </w:drawing>
      </w:r>
    </w:p>
    <w:p w14:paraId="4FA5CBE5" w14:textId="2578B833" w:rsidR="005F04A9" w:rsidRDefault="006509DB" w:rsidP="005F04A9">
      <w:pPr>
        <w:rPr>
          <w:color w:val="222222"/>
          <w:shd w:val="clear" w:color="auto" w:fill="FFFFFF"/>
        </w:rPr>
      </w:pPr>
      <w:r w:rsidRPr="008C0C68">
        <w:rPr>
          <w:rStyle w:val="fontstyle01"/>
          <w:color w:val="auto"/>
        </w:rPr>
        <w:t>P1=0.92</w:t>
      </w:r>
      <w:r w:rsidR="005F04A9">
        <w:rPr>
          <w:rStyle w:val="fontstyle01"/>
          <w:color w:val="auto"/>
        </w:rPr>
        <w:t>.</w:t>
      </w:r>
      <w:r w:rsidR="005F04A9" w:rsidRPr="005F04A9">
        <w:rPr>
          <w:color w:val="222222"/>
          <w:shd w:val="clear" w:color="auto" w:fill="FFFFFF"/>
        </w:rPr>
        <w:t xml:space="preserve"> </w:t>
      </w:r>
      <w:r w:rsidR="005F04A9" w:rsidRPr="00294E92">
        <w:rPr>
          <w:color w:val="222222"/>
          <w:shd w:val="clear" w:color="auto" w:fill="FFFFFF"/>
        </w:rPr>
        <w:t>Federico et al.</w:t>
      </w:r>
      <w:r w:rsidR="005F04A9">
        <w:rPr>
          <w:color w:val="222222"/>
          <w:shd w:val="clear" w:color="auto" w:fill="FFFFFF"/>
        </w:rPr>
        <w:t xml:space="preserve"> Found that the eradication</w:t>
      </w:r>
      <w:r w:rsidR="005F04A9" w:rsidRPr="004F7EF9">
        <w:rPr>
          <w:color w:val="222222"/>
          <w:shd w:val="clear" w:color="auto" w:fill="FFFFFF"/>
        </w:rPr>
        <w:t xml:space="preserve"> rate </w:t>
      </w:r>
      <w:r w:rsidR="005F04A9">
        <w:rPr>
          <w:color w:val="222222"/>
          <w:shd w:val="clear" w:color="auto" w:fill="FFFFFF"/>
        </w:rPr>
        <w:t xml:space="preserve">based on ITT was 0.92 % in modified </w:t>
      </w:r>
      <w:r w:rsidR="005F04A9" w:rsidRPr="004F7EF9">
        <w:rPr>
          <w:color w:val="222222"/>
          <w:shd w:val="clear" w:color="auto" w:fill="FFFFFF"/>
        </w:rPr>
        <w:t>concomitant levofloxacin-containing therapy.</w:t>
      </w:r>
      <w:r w:rsidR="005F04A9">
        <w:rPr>
          <w:color w:val="222222"/>
          <w:shd w:val="clear" w:color="auto" w:fill="FFFFFF"/>
        </w:rPr>
        <w:fldChar w:fldCharType="begin"/>
      </w:r>
      <w:r w:rsidR="005F04A9">
        <w:rPr>
          <w:color w:val="222222"/>
          <w:shd w:val="clear" w:color="auto" w:fill="FFFFFF"/>
        </w:rPr>
        <w:instrText xml:space="preserve"> ADDIN ZOTERO_ITEM CSL_CITATION {"citationID":"uhfHDmhk","properties":{"formattedCitation":"[3]","plainCitation":"[3]","noteIndex":0},"citationItems":[{"id":1290,"uris":["http://zotero.org/users/4623622/items/6ILWIPJW"],"uri":["http://zotero.org/users/4623622/items/6ILWIPJW"],"itemData":{"id":1290,"type":"article-journal","abstract":"BACKGROUND &amp; AIMS: Helicobacter pylori have become resistant to antimicrobial agents, reducing eradication rates. A 10-day sequential regimen that contains levofloxacin was efficient, safe, and cost saving in eradicating H pylori infection in an area with high prevalence of clarithromycin resistance. We performed a noninferiority randomized trial to determine whether a 5-day levofloxacin-containing quadruple concomitant regimen was as safe and effective as the 10-day sequential regimen in eradicating H pylori in previously untreated patients.\nMETHODS: We randomly assigned patients with H pylori infection to groups that were given 5 days of concomitant therapy (esomeprazole 40 mg twice daily, amoxicillin 1 g twice daily, levofloxacin 500 mg twice daily, and tinidazole 500 mg twice daily; n = 90) or 10 days of sequential therapy (esomeprazole 40 mg twice daily, amoxicillin 1g twice daily for 5 days followed by esomeprazole 40 mg twice daily, levofloxacin 500 mg twice daily, and tinidazole 500 mg twice daily for 5 more days; n = 90). Antimicrobial resistance was assessed by the E-test. Efficacy, adverse events, and costs were determined.\nRESULTS: Intention-to-treat analysis showed similar eradication rates for concomitant (92.2%; 95% confidence interval [CI], 84.0%-95.8%) and sequential therapies (93.3%; 95% CI, 86.9%-97.3%). Per-protocol eradication results were 96.5% (95% CI, 91%-99%) for concomitant therapy and 95.5% for sequential therapy (95% CI, 89.6%-98.5%). The differences between sequential and concomitant treatments were 1.1% in the intention-to-treat study (95% CI; -7.6% to 9.8%) and -1.0% in the per-protocol analysis (95% CI; -8.0% to 5.9%). The prevalence of antimicrobial resistance and incidence of adverse events were comparable between groups. Concomitant therapy cost $9 less than sequential therapy.\nCONCLUSIONS: Five days of levofloxacin-containing quadruple concomitant therapy is as effective and safe, and less expensive, in eradicating H pylori infection than 10 days of levofloxacin-containing sequential therapy.","container-title":"Gastroenterology","DOI":"10.1053/j.gastro.2012.03.043","ISSN":"1528-0012","issue":"1","journalAbbreviation":"Gastroenterology","language":"eng","note":"PMID: 22484118","page":"55-61.e1; quize e13-14","source":"PubMed","title":"Efficacy of 5-day levofloxacin-containing concomitant therapy in eradication of Helicobacter pylori infection","volume":"143","author":[{"family":"Federico","given":"Alessandro"},{"family":"Nardone","given":"Gerardo"},{"family":"Gravina","given":"Antonietta G."},{"family":"Iovene","given":"Maria Rosaria"},{"family":"Miranda","given":"Agnese"},{"family":"Compare","given":"Debora"},{"family":"Pilloni","given":"Paola A."},{"family":"Rocco","given":"Alba"},{"family":"Ricciardiello","given":"Luigi"},{"family":"Marmo","given":"Riccardo"},{"family":"Loguercio","given":"Carmelina"},{"family":"Romano","given":"Marco"}],"issued":{"date-parts":[["2012",7]]}}}],"schema":"https://github.com/citation-style-language/schema/raw/master/csl-citation.json"} </w:instrText>
      </w:r>
      <w:r w:rsidR="005F04A9">
        <w:rPr>
          <w:color w:val="222222"/>
          <w:shd w:val="clear" w:color="auto" w:fill="FFFFFF"/>
        </w:rPr>
        <w:fldChar w:fldCharType="separate"/>
      </w:r>
      <w:r w:rsidR="005F04A9" w:rsidRPr="005F04A9">
        <w:rPr>
          <w:rFonts w:ascii="Calibri" w:hAnsi="Calibri" w:cs="Calibri"/>
        </w:rPr>
        <w:t>[3]</w:t>
      </w:r>
      <w:r w:rsidR="005F04A9">
        <w:rPr>
          <w:color w:val="222222"/>
          <w:shd w:val="clear" w:color="auto" w:fill="FFFFFF"/>
        </w:rPr>
        <w:fldChar w:fldCharType="end"/>
      </w:r>
    </w:p>
    <w:p w14:paraId="1EA82760" w14:textId="040AC985" w:rsidR="005F04A9" w:rsidRDefault="008C0C68" w:rsidP="005F04A9">
      <w:pPr>
        <w:rPr>
          <w:rStyle w:val="fontstyle01"/>
          <w:color w:val="auto"/>
        </w:rPr>
      </w:pPr>
      <w:r>
        <w:rPr>
          <w:rStyle w:val="fontstyle01"/>
          <w:color w:val="auto"/>
        </w:rPr>
        <w:t xml:space="preserve"> </w:t>
      </w:r>
      <w:r w:rsidR="006509DB" w:rsidRPr="008C0C68">
        <w:rPr>
          <w:rStyle w:val="fontstyle01"/>
          <w:color w:val="auto"/>
        </w:rPr>
        <w:t>P2=0.5</w:t>
      </w:r>
      <w:r w:rsidR="005F04A9" w:rsidRPr="005F04A9">
        <w:rPr>
          <w:color w:val="222222"/>
          <w:shd w:val="clear" w:color="auto" w:fill="FFFFFF"/>
        </w:rPr>
        <w:t xml:space="preserve"> </w:t>
      </w:r>
      <w:r w:rsidR="005F04A9">
        <w:rPr>
          <w:color w:val="222222"/>
          <w:shd w:val="clear" w:color="auto" w:fill="FFFFFF"/>
        </w:rPr>
        <w:t>We</w:t>
      </w:r>
      <w:r w:rsidR="005F04A9" w:rsidRPr="004F7EF9">
        <w:rPr>
          <w:color w:val="222222"/>
          <w:shd w:val="clear" w:color="auto" w:fill="FFFFFF"/>
        </w:rPr>
        <w:t xml:space="preserve"> used tinidazole instead of metronidazole in the doxycycline-bismuth regimen for the first time</w:t>
      </w:r>
      <w:r w:rsidR="005F04A9">
        <w:rPr>
          <w:color w:val="222222"/>
          <w:shd w:val="clear" w:color="auto" w:fill="FFFFFF"/>
        </w:rPr>
        <w:t xml:space="preserve">, </w:t>
      </w:r>
      <w:r w:rsidR="00480A4D">
        <w:rPr>
          <w:color w:val="222222"/>
          <w:shd w:val="clear" w:color="auto" w:fill="FFFFFF"/>
        </w:rPr>
        <w:t>so</w:t>
      </w:r>
      <w:r w:rsidR="005F04A9" w:rsidRPr="004F7EF9">
        <w:rPr>
          <w:color w:val="222222"/>
          <w:shd w:val="clear" w:color="auto" w:fill="FFFFFF"/>
        </w:rPr>
        <w:t xml:space="preserve"> </w:t>
      </w:r>
      <w:r w:rsidR="005F04A9">
        <w:rPr>
          <w:color w:val="222222"/>
          <w:shd w:val="clear" w:color="auto" w:fill="FFFFFF"/>
        </w:rPr>
        <w:t>w</w:t>
      </w:r>
      <w:r w:rsidR="005F04A9" w:rsidRPr="004F7EF9">
        <w:rPr>
          <w:color w:val="222222"/>
          <w:shd w:val="clear" w:color="auto" w:fill="FFFFFF"/>
        </w:rPr>
        <w:t xml:space="preserve">e assumed that the eradication rate </w:t>
      </w:r>
      <w:r w:rsidR="005F04A9">
        <w:rPr>
          <w:color w:val="222222"/>
          <w:shd w:val="clear" w:color="auto" w:fill="FFFFFF"/>
        </w:rPr>
        <w:t>was</w:t>
      </w:r>
      <w:r w:rsidR="005F04A9" w:rsidRPr="004F7EF9">
        <w:rPr>
          <w:color w:val="222222"/>
          <w:shd w:val="clear" w:color="auto" w:fill="FFFFFF"/>
        </w:rPr>
        <w:t xml:space="preserve"> 0.5 </w:t>
      </w:r>
      <w:r w:rsidR="005F04A9">
        <w:rPr>
          <w:color w:val="222222"/>
          <w:shd w:val="clear" w:color="auto" w:fill="FFFFFF"/>
        </w:rPr>
        <w:t xml:space="preserve">which give us </w:t>
      </w:r>
      <w:r w:rsidR="005F04A9" w:rsidRPr="004F7EF9">
        <w:rPr>
          <w:color w:val="222222"/>
          <w:shd w:val="clear" w:color="auto" w:fill="FFFFFF"/>
        </w:rPr>
        <w:t>the largest sample size</w:t>
      </w:r>
      <w:r w:rsidR="005F04A9">
        <w:rPr>
          <w:color w:val="222222"/>
          <w:shd w:val="clear" w:color="auto" w:fill="FFFFFF"/>
        </w:rPr>
        <w:t>.</w:t>
      </w:r>
      <w:r w:rsidR="005F04A9" w:rsidRPr="004F7EF9">
        <w:rPr>
          <w:color w:val="222222"/>
          <w:shd w:val="clear" w:color="auto" w:fill="FFFFFF"/>
        </w:rPr>
        <w:t xml:space="preserve"> </w:t>
      </w:r>
      <w:r w:rsidR="005F04A9">
        <w:rPr>
          <w:color w:val="222222"/>
          <w:shd w:val="clear" w:color="auto" w:fill="FFFFFF"/>
        </w:rPr>
        <w:fldChar w:fldCharType="begin"/>
      </w:r>
      <w:r w:rsidR="005F04A9">
        <w:rPr>
          <w:color w:val="222222"/>
          <w:shd w:val="clear" w:color="auto" w:fill="FFFFFF"/>
        </w:rPr>
        <w:instrText xml:space="preserve"> ADDIN ZOTERO_ITEM CSL_CITATION {"citationID":"cQC8CDHj","properties":{"formattedCitation":"[4,5]","plainCitation":"[4,5]","noteIndex":0},"citationItems":[{"id":1588,"uris":["http://zotero.org/users/4623622/items/YBEA2WFQ"],"uri":["http://zotero.org/users/4623622/items/YBEA2WFQ"],"itemData":{"id":1588,"type":"article-journal","container-title":"Anais Brasileiros de Dermatologia","note":"ISBN: 0365-0596\npublisher: scielo","page":"609-615","title":"Sample size: how many participants do I need in my research?","volume":"89","author":[{"family":"Martínez-Mesa","given":"Jeovany"},{"family":"González-Chica","given":"David Alejandro"},{"family":"Bastos","given":"João Luiz"},{"family":"Bonamigo","given":"Renan Rangel"},{"family":"Duquia","given":"Rodrigo Pereira"}],"issued":{"date-parts":[["2014"]]}},"label":"page"},{"id":1586,"uris":["http://zotero.org/users/4623622/items/77RXA586"],"uri":["http://zotero.org/users/4623622/items/77RXA586"],"itemData":{"id":1586,"type":"article-journal","abstract":"&lt;b&gt;Introduction:&lt;/b&gt; The purpose of this article is to provide a general understanding of the concepts of sampling as applied to health-related research. &lt;b&gt;Sample Size Estimation:&lt;/b&gt; It is important to select a representative sample in quantitative research in order to be able to generalize the results to the target population. The sample should be of the required sample size and must be selected using an appropriate probability sampling technique. There are many hidden biases which can adversely affect the outcome of the study. Important factors to consider for estimating the sample size include the size of the study population, confidence level, expected proportion of the outcome variable (for categorical variables)/standard deviation of the outcome variable (for numerical variables), and the required precision (margin of accuracy) from the study. The more the precision required, the greater is the required sample size. &lt;b&gt;Sampling Techniques:&lt;/b&gt; The probability sampling techniques applied for health related research include simple random sampling, systematic random sampling, stratified random sampling, cluster sampling, and multistage sampling. These are more recommended than the nonprobability sampling techniques, because the results of the study can be generalized to the target population.","container-title":"Journal of Health Specialties","issue":"4","note":"ISBN: 2468-6360\npublisher: Wolters Kluwer Medknow Publications\ntype: Original Article, 10.4103/1658-600X.142783","page":"142-147","title":"Sample size estimation and sampling techniques for selecting a representative sample","volume":"2","author":[{"family":"Omair","given":"Aamir"}],"issued":{"date-parts":[["2014"]]}},"label":"page"}],"schema":"https://github.com/citation-style-language/schema/raw/master/csl-citation.json"} </w:instrText>
      </w:r>
      <w:r w:rsidR="005F04A9">
        <w:rPr>
          <w:color w:val="222222"/>
          <w:shd w:val="clear" w:color="auto" w:fill="FFFFFF"/>
        </w:rPr>
        <w:fldChar w:fldCharType="separate"/>
      </w:r>
      <w:r w:rsidR="005F04A9" w:rsidRPr="005F04A9">
        <w:rPr>
          <w:rFonts w:ascii="Calibri" w:hAnsi="Calibri" w:cs="Calibri"/>
        </w:rPr>
        <w:t>[4,5]</w:t>
      </w:r>
      <w:r w:rsidR="005F04A9">
        <w:rPr>
          <w:color w:val="222222"/>
          <w:shd w:val="clear" w:color="auto" w:fill="FFFFFF"/>
        </w:rPr>
        <w:fldChar w:fldCharType="end"/>
      </w:r>
      <w:r w:rsidR="00666FB4">
        <w:rPr>
          <w:rStyle w:val="fontstyle01"/>
          <w:color w:val="auto"/>
        </w:rPr>
        <w:t xml:space="preserve"> </w:t>
      </w:r>
    </w:p>
    <w:p w14:paraId="0D63F39A" w14:textId="57B8A98F" w:rsidR="00116022" w:rsidRPr="008C0C68" w:rsidRDefault="00116022" w:rsidP="008C0C68">
      <w:pPr>
        <w:rPr>
          <w:rStyle w:val="fontstyle01"/>
          <w:color w:val="auto"/>
        </w:rPr>
      </w:pPr>
      <m:oMathPara>
        <m:oMath>
          <m:r>
            <w:rPr>
              <w:rStyle w:val="fontstyle01"/>
              <w:rFonts w:ascii="Cambria Math" w:hAnsi="Cambria Math"/>
              <w:color w:val="auto"/>
            </w:rPr>
            <m:t>n=k</m:t>
          </m:r>
          <m:r>
            <m:rPr>
              <m:sty m:val="bi"/>
            </m:rPr>
            <w:rPr>
              <w:rStyle w:val="fontstyle01"/>
              <w:rFonts w:ascii="Cambria Math" w:hAnsi="Cambria Math"/>
              <w:color w:val="auto"/>
            </w:rPr>
            <m:t>×</m:t>
          </m:r>
          <m:f>
            <m:fPr>
              <m:ctrlPr>
                <w:rPr>
                  <w:rStyle w:val="fontstyle01"/>
                  <w:rFonts w:ascii="Cambria Math" w:hAnsi="Cambria Math"/>
                  <w:b w:val="0"/>
                  <w:bCs w:val="0"/>
                  <w:iCs/>
                  <w:color w:val="auto"/>
                </w:rPr>
              </m:ctrlPr>
            </m:fPr>
            <m:num>
              <m:r>
                <w:rPr>
                  <w:rStyle w:val="fontstyle01"/>
                  <w:rFonts w:ascii="Cambria Math" w:hAnsi="Cambria Math"/>
                  <w:color w:val="auto"/>
                </w:rPr>
                <m:t>0.92</m:t>
              </m:r>
              <m:r>
                <m:rPr>
                  <m:sty m:val="bi"/>
                </m:rPr>
                <w:rPr>
                  <w:rStyle w:val="fontstyle01"/>
                  <w:rFonts w:ascii="Cambria Math" w:hAnsi="Cambria Math"/>
                  <w:color w:val="auto"/>
                </w:rPr>
                <m:t>×</m:t>
              </m:r>
              <m:r>
                <w:rPr>
                  <w:rStyle w:val="fontstyle01"/>
                  <w:rFonts w:ascii="Cambria Math" w:hAnsi="Cambria Math"/>
                  <w:color w:val="auto"/>
                </w:rPr>
                <m:t>(1-0.92)+0.5×(1-0.5)</m:t>
              </m:r>
            </m:num>
            <m:den>
              <m:sSup>
                <m:sSupPr>
                  <m:ctrlPr>
                    <w:rPr>
                      <w:rStyle w:val="fontstyle01"/>
                      <w:rFonts w:ascii="Cambria Math" w:hAnsi="Cambria Math"/>
                      <w:b w:val="0"/>
                      <w:bCs w:val="0"/>
                      <w:i/>
                      <w:iCs/>
                      <w:color w:val="auto"/>
                    </w:rPr>
                  </m:ctrlPr>
                </m:sSupPr>
                <m:e>
                  <m:r>
                    <w:rPr>
                      <w:rStyle w:val="fontstyle01"/>
                      <w:rFonts w:ascii="Cambria Math" w:hAnsi="Cambria Math"/>
                      <w:color w:val="auto"/>
                    </w:rPr>
                    <m:t>(0.92-0.5)</m:t>
                  </m:r>
                </m:e>
                <m:sup>
                  <m:r>
                    <w:rPr>
                      <w:rStyle w:val="fontstyle01"/>
                      <w:rFonts w:ascii="Cambria Math" w:hAnsi="Cambria Math"/>
                      <w:color w:val="auto"/>
                    </w:rPr>
                    <m:t>2</m:t>
                  </m:r>
                </m:sup>
              </m:sSup>
            </m:den>
          </m:f>
        </m:oMath>
      </m:oMathPara>
    </w:p>
    <w:p w14:paraId="21B34697" w14:textId="77777777" w:rsidR="006509DB" w:rsidRPr="008C0C68" w:rsidRDefault="006509DB" w:rsidP="00650976">
      <w:pPr>
        <w:rPr>
          <w:rStyle w:val="fontstyle01"/>
          <w:rFonts w:eastAsiaTheme="minorEastAsia"/>
          <w:iCs/>
          <w:color w:val="auto"/>
        </w:rPr>
      </w:pPr>
      <m:oMathPara>
        <m:oMath>
          <m:r>
            <w:rPr>
              <w:rStyle w:val="fontstyle01"/>
              <w:rFonts w:ascii="Cambria Math" w:hAnsi="Cambria Math"/>
              <w:color w:val="auto"/>
            </w:rPr>
            <m:t>n=k</m:t>
          </m:r>
          <m:r>
            <m:rPr>
              <m:sty m:val="bi"/>
            </m:rPr>
            <w:rPr>
              <w:rStyle w:val="fontstyle01"/>
              <w:rFonts w:ascii="Cambria Math" w:hAnsi="Cambria Math"/>
              <w:color w:val="auto"/>
            </w:rPr>
            <m:t>×</m:t>
          </m:r>
          <m:f>
            <m:fPr>
              <m:ctrlPr>
                <w:rPr>
                  <w:rStyle w:val="fontstyle01"/>
                  <w:rFonts w:ascii="Cambria Math" w:hAnsi="Cambria Math"/>
                  <w:b w:val="0"/>
                  <w:bCs w:val="0"/>
                  <w:iCs/>
                  <w:color w:val="auto"/>
                </w:rPr>
              </m:ctrlPr>
            </m:fPr>
            <m:num>
              <m:r>
                <w:rPr>
                  <w:rStyle w:val="fontstyle01"/>
                  <w:rFonts w:ascii="Cambria Math" w:hAnsi="Cambria Math"/>
                  <w:color w:val="auto"/>
                </w:rPr>
                <m:t>0.92</m:t>
              </m:r>
              <m:r>
                <m:rPr>
                  <m:sty m:val="bi"/>
                </m:rPr>
                <w:rPr>
                  <w:rStyle w:val="fontstyle01"/>
                  <w:rFonts w:ascii="Cambria Math" w:hAnsi="Cambria Math"/>
                  <w:color w:val="auto"/>
                </w:rPr>
                <m:t>×</m:t>
              </m:r>
              <m:r>
                <w:rPr>
                  <w:rStyle w:val="fontstyle01"/>
                  <w:rFonts w:ascii="Cambria Math" w:hAnsi="Cambria Math"/>
                  <w:color w:val="auto"/>
                </w:rPr>
                <m:t>0.08+0.5×0.5</m:t>
              </m:r>
            </m:num>
            <m:den>
              <m:sSup>
                <m:sSupPr>
                  <m:ctrlPr>
                    <w:rPr>
                      <w:rStyle w:val="fontstyle01"/>
                      <w:rFonts w:ascii="Cambria Math" w:hAnsi="Cambria Math"/>
                      <w:b w:val="0"/>
                      <w:bCs w:val="0"/>
                      <w:i/>
                      <w:iCs/>
                      <w:color w:val="auto"/>
                    </w:rPr>
                  </m:ctrlPr>
                </m:sSupPr>
                <m:e>
                  <m:r>
                    <w:rPr>
                      <w:rStyle w:val="fontstyle01"/>
                      <w:rFonts w:ascii="Cambria Math" w:hAnsi="Cambria Math"/>
                      <w:color w:val="auto"/>
                    </w:rPr>
                    <m:t>(0.92-0.5)</m:t>
                  </m:r>
                </m:e>
                <m:sup>
                  <m:r>
                    <w:rPr>
                      <w:rStyle w:val="fontstyle01"/>
                      <w:rFonts w:ascii="Cambria Math" w:hAnsi="Cambria Math"/>
                      <w:color w:val="auto"/>
                    </w:rPr>
                    <m:t>2</m:t>
                  </m:r>
                </m:sup>
              </m:sSup>
            </m:den>
          </m:f>
        </m:oMath>
      </m:oMathPara>
    </w:p>
    <w:p w14:paraId="75A7C94C" w14:textId="77777777" w:rsidR="007C48F0" w:rsidRPr="008C0C68" w:rsidRDefault="007C48F0" w:rsidP="007C48F0">
      <w:pPr>
        <w:rPr>
          <w:rStyle w:val="fontstyle01"/>
          <w:color w:val="auto"/>
        </w:rPr>
      </w:pPr>
      <m:oMathPara>
        <m:oMath>
          <m:r>
            <w:rPr>
              <w:rStyle w:val="fontstyle01"/>
              <w:rFonts w:ascii="Cambria Math" w:hAnsi="Cambria Math"/>
              <w:color w:val="auto"/>
            </w:rPr>
            <w:lastRenderedPageBreak/>
            <m:t>n=k</m:t>
          </m:r>
          <m:r>
            <m:rPr>
              <m:sty m:val="bi"/>
            </m:rPr>
            <w:rPr>
              <w:rStyle w:val="fontstyle01"/>
              <w:rFonts w:ascii="Cambria Math" w:hAnsi="Cambria Math"/>
              <w:color w:val="auto"/>
            </w:rPr>
            <m:t>×</m:t>
          </m:r>
          <m:f>
            <m:fPr>
              <m:ctrlPr>
                <w:rPr>
                  <w:rStyle w:val="fontstyle01"/>
                  <w:rFonts w:ascii="Cambria Math" w:hAnsi="Cambria Math"/>
                  <w:b w:val="0"/>
                  <w:bCs w:val="0"/>
                  <w:iCs/>
                  <w:color w:val="auto"/>
                </w:rPr>
              </m:ctrlPr>
            </m:fPr>
            <m:num>
              <m:r>
                <m:rPr>
                  <m:sty m:val="bi"/>
                </m:rPr>
                <w:rPr>
                  <w:rStyle w:val="fontstyle01"/>
                  <w:rFonts w:ascii="Cambria Math" w:hAnsi="Cambria Math"/>
                  <w:color w:val="auto"/>
                </w:rPr>
                <m:t>0</m:t>
              </m:r>
              <m:r>
                <w:rPr>
                  <w:rStyle w:val="fontstyle01"/>
                  <w:rFonts w:ascii="Cambria Math" w:hAnsi="Cambria Math"/>
                  <w:color w:val="auto"/>
                </w:rPr>
                <m:t>.</m:t>
              </m:r>
              <m:r>
                <m:rPr>
                  <m:sty m:val="bi"/>
                </m:rPr>
                <w:rPr>
                  <w:rStyle w:val="fontstyle01"/>
                  <w:rFonts w:ascii="Cambria Math" w:hAnsi="Cambria Math"/>
                  <w:color w:val="auto"/>
                </w:rPr>
                <m:t>0736</m:t>
              </m:r>
              <m:r>
                <w:rPr>
                  <w:rStyle w:val="fontstyle01"/>
                  <w:rFonts w:ascii="Cambria Math" w:hAnsi="Cambria Math"/>
                  <w:color w:val="auto"/>
                </w:rPr>
                <m:t>+0.25</m:t>
              </m:r>
            </m:num>
            <m:den>
              <m:r>
                <w:rPr>
                  <w:rStyle w:val="fontstyle01"/>
                  <w:rFonts w:ascii="Cambria Math" w:hAnsi="Cambria Math"/>
                  <w:color w:val="auto"/>
                </w:rPr>
                <m:t>0.1764</m:t>
              </m:r>
            </m:den>
          </m:f>
        </m:oMath>
      </m:oMathPara>
    </w:p>
    <w:p w14:paraId="40E25C86" w14:textId="77777777" w:rsidR="007C48F0" w:rsidRPr="008C0C68" w:rsidRDefault="007C48F0" w:rsidP="007C48F0">
      <w:pPr>
        <w:rPr>
          <w:rStyle w:val="fontstyle01"/>
          <w:color w:val="auto"/>
        </w:rPr>
      </w:pPr>
      <m:oMathPara>
        <m:oMath>
          <m:r>
            <w:rPr>
              <w:rStyle w:val="fontstyle01"/>
              <w:rFonts w:ascii="Cambria Math" w:hAnsi="Cambria Math"/>
              <w:color w:val="auto"/>
            </w:rPr>
            <m:t>n=k</m:t>
          </m:r>
          <m:r>
            <m:rPr>
              <m:sty m:val="bi"/>
            </m:rPr>
            <w:rPr>
              <w:rStyle w:val="fontstyle01"/>
              <w:rFonts w:ascii="Cambria Math" w:hAnsi="Cambria Math"/>
              <w:color w:val="auto"/>
            </w:rPr>
            <m:t>×</m:t>
          </m:r>
          <m:f>
            <m:fPr>
              <m:ctrlPr>
                <w:rPr>
                  <w:rStyle w:val="fontstyle01"/>
                  <w:rFonts w:ascii="Cambria Math" w:hAnsi="Cambria Math"/>
                  <w:b w:val="0"/>
                  <w:bCs w:val="0"/>
                  <w:iCs/>
                  <w:color w:val="auto"/>
                </w:rPr>
              </m:ctrlPr>
            </m:fPr>
            <m:num>
              <m:r>
                <m:rPr>
                  <m:sty m:val="bi"/>
                </m:rPr>
                <w:rPr>
                  <w:rStyle w:val="fontstyle01"/>
                  <w:rFonts w:ascii="Cambria Math" w:hAnsi="Cambria Math"/>
                  <w:color w:val="auto"/>
                </w:rPr>
                <m:t>0</m:t>
              </m:r>
              <m:r>
                <w:rPr>
                  <w:rStyle w:val="fontstyle01"/>
                  <w:rFonts w:ascii="Cambria Math" w:hAnsi="Cambria Math"/>
                  <w:color w:val="auto"/>
                </w:rPr>
                <m:t>.</m:t>
              </m:r>
              <m:r>
                <m:rPr>
                  <m:sty m:val="bi"/>
                </m:rPr>
                <w:rPr>
                  <w:rStyle w:val="fontstyle01"/>
                  <w:rFonts w:ascii="Cambria Math" w:hAnsi="Cambria Math"/>
                  <w:color w:val="auto"/>
                </w:rPr>
                <m:t>3236</m:t>
              </m:r>
            </m:num>
            <m:den>
              <m:r>
                <w:rPr>
                  <w:rStyle w:val="fontstyle01"/>
                  <w:rFonts w:ascii="Cambria Math" w:hAnsi="Cambria Math"/>
                  <w:color w:val="auto"/>
                </w:rPr>
                <m:t>0.1764</m:t>
              </m:r>
            </m:den>
          </m:f>
        </m:oMath>
      </m:oMathPara>
    </w:p>
    <w:p w14:paraId="47045A85" w14:textId="77777777" w:rsidR="007C48F0" w:rsidRPr="008C0C68" w:rsidRDefault="007C48F0" w:rsidP="007C48F0">
      <w:pPr>
        <w:rPr>
          <w:rStyle w:val="fontstyle01"/>
          <w:color w:val="auto"/>
        </w:rPr>
      </w:pPr>
      <m:oMathPara>
        <m:oMath>
          <m:r>
            <w:rPr>
              <w:rStyle w:val="fontstyle01"/>
              <w:rFonts w:ascii="Cambria Math" w:hAnsi="Cambria Math"/>
              <w:color w:val="auto"/>
            </w:rPr>
            <m:t>n=K</m:t>
          </m:r>
          <m:r>
            <m:rPr>
              <m:sty m:val="bi"/>
            </m:rPr>
            <w:rPr>
              <w:rStyle w:val="fontstyle01"/>
              <w:rFonts w:ascii="Cambria Math" w:hAnsi="Cambria Math"/>
              <w:color w:val="auto"/>
            </w:rPr>
            <m:t>×1</m:t>
          </m:r>
          <m:r>
            <w:rPr>
              <w:rStyle w:val="fontstyle01"/>
              <w:rFonts w:ascii="Cambria Math" w:hAnsi="Cambria Math"/>
              <w:color w:val="auto"/>
            </w:rPr>
            <m:t>.</m:t>
          </m:r>
          <m:r>
            <m:rPr>
              <m:sty m:val="bi"/>
            </m:rPr>
            <w:rPr>
              <w:rStyle w:val="fontstyle01"/>
              <w:rFonts w:ascii="Cambria Math" w:hAnsi="Cambria Math"/>
              <w:color w:val="auto"/>
            </w:rPr>
            <m:t>8344671201</m:t>
          </m:r>
        </m:oMath>
      </m:oMathPara>
    </w:p>
    <w:p w14:paraId="0D1171FE" w14:textId="028096FC" w:rsidR="007C48F0" w:rsidRPr="005528D1" w:rsidRDefault="00EF5B16" w:rsidP="00EF5B16">
      <w:pPr>
        <w:rPr>
          <w:rStyle w:val="fontstyle01"/>
          <w:rFonts w:eastAsiaTheme="minorEastAsia"/>
          <w:bCs w:val="0"/>
          <w:color w:val="auto"/>
        </w:rPr>
      </w:pPr>
      <m:oMathPara>
        <m:oMath>
          <m:r>
            <w:rPr>
              <w:rStyle w:val="fontstyle01"/>
              <w:rFonts w:ascii="Cambria Math" w:hAnsi="Cambria Math"/>
              <w:color w:val="auto"/>
            </w:rPr>
            <m:t>33.7531=18.4</m:t>
          </m:r>
          <m:r>
            <m:rPr>
              <m:sty m:val="bi"/>
            </m:rPr>
            <w:rPr>
              <w:rStyle w:val="fontstyle01"/>
              <w:rFonts w:ascii="Cambria Math" w:hAnsi="Cambria Math"/>
              <w:color w:val="auto"/>
            </w:rPr>
            <m:t>×1</m:t>
          </m:r>
          <m:r>
            <w:rPr>
              <w:rStyle w:val="fontstyle01"/>
              <w:rFonts w:ascii="Cambria Math" w:hAnsi="Cambria Math"/>
              <w:color w:val="auto"/>
            </w:rPr>
            <m:t>.</m:t>
          </m:r>
          <m:r>
            <m:rPr>
              <m:sty m:val="bi"/>
            </m:rPr>
            <w:rPr>
              <w:rStyle w:val="fontstyle01"/>
              <w:rFonts w:ascii="Cambria Math" w:hAnsi="Cambria Math"/>
              <w:color w:val="auto"/>
            </w:rPr>
            <m:t>8344671201</m:t>
          </m:r>
        </m:oMath>
      </m:oMathPara>
    </w:p>
    <w:p w14:paraId="1A2CF0D4" w14:textId="491FC019" w:rsidR="005528D1" w:rsidRDefault="005528D1" w:rsidP="00EF5B16">
      <w:pPr>
        <w:rPr>
          <w:rStyle w:val="fontstyle01"/>
          <w:rFonts w:eastAsiaTheme="minorEastAsia"/>
          <w:bCs w:val="0"/>
          <w:color w:val="auto"/>
        </w:rPr>
      </w:pPr>
    </w:p>
    <w:p w14:paraId="58483795" w14:textId="33698B1E" w:rsidR="005528D1" w:rsidRDefault="005528D1" w:rsidP="005F04A9">
      <w:pPr>
        <w:rPr>
          <w:rStyle w:val="fontstyle01"/>
          <w:color w:val="auto"/>
        </w:rPr>
      </w:pPr>
      <w:r w:rsidRPr="005528D1">
        <w:rPr>
          <w:rStyle w:val="fontstyle01"/>
          <w:color w:val="auto"/>
        </w:rPr>
        <w:t xml:space="preserve">We added five patients to each group to compensate for the predicted dropout. </w:t>
      </w:r>
      <w:r w:rsidRPr="005528D1">
        <w:rPr>
          <w:rStyle w:val="fontstyle01"/>
          <w:color w:val="auto"/>
        </w:rPr>
        <w:fldChar w:fldCharType="begin"/>
      </w:r>
      <w:r w:rsidR="00B83A2E">
        <w:rPr>
          <w:rStyle w:val="fontstyle01"/>
          <w:color w:val="auto"/>
        </w:rPr>
        <w:instrText xml:space="preserve"> ADDIN ZOTERO_ITEM CSL_CITATION {"citationID":"QTtLGzCl","properties":{"formattedCitation":"[6,7]","plainCitation":"[6,7]","noteIndex":0},"citationItems":[{"id":1690,"uris":["http://zotero.org/users/4623622/items/8ZNG9BAD"],"uri":["http://zotero.org/users/4623622/items/8ZNG9BAD"],"itemData":{"id":1690,"type":"article-journal","abstract":"Quality of clinical trials has improved steadily over last two decades, but certain areas in trial methodology still require special attention like in sample size calculation. The sample size is one of the basic steps in planning any clinical trial and any negligence in its calculation may lead to rejection of true findings and false results may get approval. Although statisticians play a major role in sample size estimation basic knowledge regarding sample size calculation is very sparse among most of the anesthesiologists related to research including under trainee doctors. In this review, we will discuss how important sample size calculation is for research studies and the effects of underestimation or overestimation of sample size on project's results. We have highlighted the basic concepts regarding various parameters needed to calculate the sample size along with examples.","container-title":"Saudi Journal of Anaesthesia","DOI":"10.4103/1658-354X.174918","ISSN":"1658-354X","issue":"3","journalAbbreviation":"Saudi J Anaesth","note":"PMID: 27375390\nPMCID: PMC4916819","page":"328-331","source":"PubMed Central","title":"Basic concepts for sample size calculation: Critical step for any clinical trials!","title-short":"Basic concepts for sample size calculation","volume":"10","author":[{"family":"Gupta","given":"KK"},{"family":"Attri","given":"JP"},{"family":"Singh","given":"A"},{"family":"Kaur","given":"H"},{"family":"Kaur","given":"G"}],"issued":{"date-parts":[["2016"]]}},"label":"page"},{"id":1592,"uris":["http://zotero.org/users/4623622/items/T6BNDPW5"],"uri":["http://zotero.org/users/4623622/items/T6BNDPW5"],"itemData":{"id":1592,"type":"article-journal","abstract":"Every clinical trial should be planned. This plan should include the objective of trial, primary and secondary end-point, method of collecting data, sample to be included, sample size with scientific justification, method of handling data, statistical methods and assumptions. This plan is termed as clinical trial protocol. One of the key aspects of this protocol is sample size estimation. The aim of this article is to discuss how important sample size estimation is for a clinical trial, and also to understand the effects of sample size over- estimation or under-estimation on outcome of a trial. Also an attempt is made to understand importance of minimum sample to detect a clinically important difference. This article is also an attempt to provide inputs on different parameters that impact sample size and basic rules for these parameters with the help of some simple examples.","container-title":"Perspectives in Clinical Research","ISSN":"2229-3485","issue":"2","journalAbbreviation":"Perspect Clin Res","note":"PMID: 21829786\nPMCID: PMC3148614","page":"67-69","source":"PubMed Central","title":"Sample Size Estimation in Clinical Trial","volume":"1","author":[{"family":"Sakpal","given":"Tushar Vijay"}],"issued":{"date-parts":[["2010"]]}},"label":"page"}],"schema":"https://github.com/citation-style-language/schema/raw/master/csl-citation.json"} </w:instrText>
      </w:r>
      <w:r w:rsidRPr="005528D1">
        <w:rPr>
          <w:rStyle w:val="fontstyle01"/>
          <w:color w:val="auto"/>
        </w:rPr>
        <w:fldChar w:fldCharType="separate"/>
      </w:r>
      <w:r w:rsidR="005F04A9" w:rsidRPr="005F04A9">
        <w:rPr>
          <w:rFonts w:ascii="GillSansMTPro-BoldCondensed" w:hAnsi="GillSansMTPro-BoldCondensed"/>
          <w:sz w:val="36"/>
        </w:rPr>
        <w:t>[6,7]</w:t>
      </w:r>
      <w:r w:rsidRPr="005528D1">
        <w:rPr>
          <w:rStyle w:val="fontstyle01"/>
          <w:color w:val="auto"/>
        </w:rPr>
        <w:fldChar w:fldCharType="end"/>
      </w:r>
      <w:r w:rsidRPr="005528D1">
        <w:rPr>
          <w:rStyle w:val="fontstyle01"/>
          <w:color w:val="auto"/>
        </w:rPr>
        <w:t xml:space="preserve"> </w:t>
      </w:r>
    </w:p>
    <w:p w14:paraId="3FF5BEB6" w14:textId="65BB1580" w:rsidR="005528D1" w:rsidRPr="005528D1" w:rsidRDefault="005528D1" w:rsidP="005528D1">
      <w:pPr>
        <w:rPr>
          <w:rStyle w:val="fontstyle01"/>
          <w:color w:val="auto"/>
        </w:rPr>
      </w:pPr>
      <w:r>
        <w:rPr>
          <w:rStyle w:val="fontstyle01"/>
          <w:color w:val="auto"/>
        </w:rPr>
        <w:t>The final sample size is 39 patients in each group</w:t>
      </w:r>
    </w:p>
    <w:p w14:paraId="621949B5" w14:textId="726643E9" w:rsidR="005528D1" w:rsidRPr="008C0C68" w:rsidRDefault="005528D1" w:rsidP="005528D1">
      <w:pPr>
        <w:rPr>
          <w:rStyle w:val="fontstyle01"/>
          <w:color w:val="auto"/>
        </w:rPr>
      </w:pPr>
      <w:r>
        <w:rPr>
          <w:rStyle w:val="fontstyle01"/>
          <w:rFonts w:eastAsiaTheme="minorEastAsia"/>
          <w:bCs w:val="0"/>
          <w:color w:val="auto"/>
        </w:rPr>
        <w:t xml:space="preserve"> </w:t>
      </w:r>
    </w:p>
    <w:p w14:paraId="714ED04C" w14:textId="77777777" w:rsidR="006509DB" w:rsidRDefault="006509DB" w:rsidP="006509DB">
      <w:pPr>
        <w:rPr>
          <w:rStyle w:val="fontstyle01"/>
        </w:rPr>
      </w:pPr>
    </w:p>
    <w:p w14:paraId="7799E832" w14:textId="77777777" w:rsidR="006509DB" w:rsidRDefault="006509DB" w:rsidP="006509DB">
      <w:pPr>
        <w:rPr>
          <w:rStyle w:val="fontstyle01"/>
        </w:rPr>
      </w:pPr>
    </w:p>
    <w:p w14:paraId="666DB847" w14:textId="621B15A9" w:rsidR="006509DB" w:rsidRDefault="006509DB" w:rsidP="006509DB">
      <w:pPr>
        <w:rPr>
          <w:rStyle w:val="fontstyle01"/>
        </w:rPr>
      </w:pPr>
    </w:p>
    <w:p w14:paraId="1A436E36" w14:textId="6BB05E1F" w:rsidR="006509DB" w:rsidRDefault="006509DB" w:rsidP="006509DB">
      <w:pPr>
        <w:rPr>
          <w:rStyle w:val="fontstyle01"/>
        </w:rPr>
      </w:pPr>
    </w:p>
    <w:p w14:paraId="27E7CF1B" w14:textId="77777777" w:rsidR="006509DB" w:rsidRDefault="006509DB" w:rsidP="006509DB">
      <w:pPr>
        <w:rPr>
          <w:rStyle w:val="fontstyle01"/>
        </w:rPr>
      </w:pPr>
    </w:p>
    <w:p w14:paraId="03010F36" w14:textId="77777777" w:rsidR="006509DB" w:rsidRDefault="006509DB" w:rsidP="006509DB"/>
    <w:p w14:paraId="5AB13A45" w14:textId="77777777" w:rsidR="006509DB" w:rsidRDefault="006509DB" w:rsidP="006509DB"/>
    <w:p w14:paraId="5C1556FD" w14:textId="05BC889C" w:rsidR="006509DB" w:rsidRDefault="006509DB" w:rsidP="008C0C68"/>
    <w:p w14:paraId="2CD1745B" w14:textId="569F3D68" w:rsidR="00B83A2E" w:rsidRDefault="00B83A2E" w:rsidP="008C0C68">
      <w:r>
        <w:t>Refrence:</w:t>
      </w:r>
    </w:p>
    <w:p w14:paraId="0C864BD2" w14:textId="77777777" w:rsidR="00B83A2E" w:rsidRPr="00B83A2E" w:rsidRDefault="00B83A2E" w:rsidP="00B83A2E">
      <w:pPr>
        <w:pStyle w:val="Bibliography"/>
        <w:rPr>
          <w:rFonts w:ascii="Calibri" w:hAnsi="Calibri" w:cs="Calibri"/>
        </w:rPr>
      </w:pPr>
      <w:r>
        <w:fldChar w:fldCharType="begin"/>
      </w:r>
      <w:r>
        <w:instrText xml:space="preserve"> ADDIN ZOTERO_BIBL {"uncited":[],"omitted":[],"custom":[]} CSL_BIBLIOGRAPHY </w:instrText>
      </w:r>
      <w:r>
        <w:fldChar w:fldCharType="separate"/>
      </w:r>
      <w:r w:rsidRPr="00B83A2E">
        <w:rPr>
          <w:rFonts w:ascii="Calibri" w:hAnsi="Calibri" w:cs="Calibri"/>
        </w:rPr>
        <w:t>1. Peacock JL, Peacock PJ. Oxford Handbook of Medical Statistics [Internet]. 2nd ed. Oxford Handbook of Medical Statistics. Oxford University Press; [cited 2021 Feb 11]. Available from: https://oxfordmedicine.com/view/10.1093/med/9780198743583.001.0001/med-9780198743583</w:t>
      </w:r>
    </w:p>
    <w:p w14:paraId="17176D9D" w14:textId="77777777" w:rsidR="00B83A2E" w:rsidRPr="00B83A2E" w:rsidRDefault="00B83A2E" w:rsidP="00B83A2E">
      <w:pPr>
        <w:pStyle w:val="Bibliography"/>
        <w:rPr>
          <w:rFonts w:ascii="Calibri" w:hAnsi="Calibri" w:cs="Calibri"/>
        </w:rPr>
      </w:pPr>
      <w:r w:rsidRPr="00B83A2E">
        <w:rPr>
          <w:rFonts w:ascii="Calibri" w:hAnsi="Calibri" w:cs="Calibri"/>
        </w:rPr>
        <w:t xml:space="preserve">2. Whitley E, Ball J. Statistics review 4: Sample size calculations. Crit Care. 2002;6:335–41. </w:t>
      </w:r>
    </w:p>
    <w:p w14:paraId="78D4EDF5" w14:textId="77777777" w:rsidR="00B83A2E" w:rsidRPr="00B83A2E" w:rsidRDefault="00B83A2E" w:rsidP="00B83A2E">
      <w:pPr>
        <w:pStyle w:val="Bibliography"/>
        <w:rPr>
          <w:rFonts w:ascii="Calibri" w:hAnsi="Calibri" w:cs="Calibri"/>
        </w:rPr>
      </w:pPr>
      <w:r w:rsidRPr="00B83A2E">
        <w:rPr>
          <w:rFonts w:ascii="Calibri" w:hAnsi="Calibri" w:cs="Calibri"/>
        </w:rPr>
        <w:t xml:space="preserve">3. Federico A, Nardone G, Gravina AG, Iovene MR, Miranda A, Compare D, et al. Efficacy of 5-day levofloxacin-containing concomitant therapy in eradication of Helicobacter pylori infection. Gastroenterology. 2012;143:55-61.e1; quize e13-14. </w:t>
      </w:r>
    </w:p>
    <w:p w14:paraId="1BB9CC9D" w14:textId="77777777" w:rsidR="00B83A2E" w:rsidRPr="00B83A2E" w:rsidRDefault="00B83A2E" w:rsidP="00B83A2E">
      <w:pPr>
        <w:pStyle w:val="Bibliography"/>
        <w:rPr>
          <w:rFonts w:ascii="Calibri" w:hAnsi="Calibri" w:cs="Calibri"/>
        </w:rPr>
      </w:pPr>
      <w:r w:rsidRPr="00B83A2E">
        <w:rPr>
          <w:rFonts w:ascii="Calibri" w:hAnsi="Calibri" w:cs="Calibri"/>
        </w:rPr>
        <w:t>4. Martínez-Mesa J, González-Chica DA, Bastos JL, Bonamigo RR, Duquia RP. Sample size: how many participants do I need in my research? Anais Brasileiros de Dermatologia. scielo; 20</w:t>
      </w:r>
      <w:bookmarkStart w:id="0" w:name="_GoBack"/>
      <w:bookmarkEnd w:id="0"/>
      <w:r w:rsidRPr="00B83A2E">
        <w:rPr>
          <w:rFonts w:ascii="Calibri" w:hAnsi="Calibri" w:cs="Calibri"/>
        </w:rPr>
        <w:t xml:space="preserve">14;89:609–15. </w:t>
      </w:r>
    </w:p>
    <w:p w14:paraId="41EB5935" w14:textId="77777777" w:rsidR="00B83A2E" w:rsidRPr="00B83A2E" w:rsidRDefault="00B83A2E" w:rsidP="00B83A2E">
      <w:pPr>
        <w:pStyle w:val="Bibliography"/>
        <w:rPr>
          <w:rFonts w:ascii="Calibri" w:hAnsi="Calibri" w:cs="Calibri"/>
        </w:rPr>
      </w:pPr>
      <w:r w:rsidRPr="00B83A2E">
        <w:rPr>
          <w:rFonts w:ascii="Calibri" w:hAnsi="Calibri" w:cs="Calibri"/>
        </w:rPr>
        <w:t xml:space="preserve">5. Omair A. Sample size estimation and sampling techniques for selecting a representative sample. Journal of Health Specialties. Wolters Kluwer Medknow Publications; 2014. p. 142–7. </w:t>
      </w:r>
    </w:p>
    <w:p w14:paraId="7CCA2C9A" w14:textId="77777777" w:rsidR="00B83A2E" w:rsidRPr="00B83A2E" w:rsidRDefault="00B83A2E" w:rsidP="00B83A2E">
      <w:pPr>
        <w:pStyle w:val="Bibliography"/>
        <w:rPr>
          <w:rFonts w:ascii="Calibri" w:hAnsi="Calibri" w:cs="Calibri"/>
        </w:rPr>
      </w:pPr>
      <w:r w:rsidRPr="00B83A2E">
        <w:rPr>
          <w:rFonts w:ascii="Calibri" w:hAnsi="Calibri" w:cs="Calibri"/>
        </w:rPr>
        <w:t xml:space="preserve">6. Gupta K, Attri J, Singh A, Kaur H, Kaur G. Basic concepts for sample size calculation: Critical step for any clinical trials! Saudi J Anaesth. 2016;10:328–31. </w:t>
      </w:r>
    </w:p>
    <w:p w14:paraId="731E14CA" w14:textId="77777777" w:rsidR="00B83A2E" w:rsidRPr="00B83A2E" w:rsidRDefault="00B83A2E" w:rsidP="00B83A2E">
      <w:pPr>
        <w:pStyle w:val="Bibliography"/>
        <w:rPr>
          <w:rFonts w:ascii="Calibri" w:hAnsi="Calibri" w:cs="Calibri"/>
        </w:rPr>
      </w:pPr>
      <w:r w:rsidRPr="00B83A2E">
        <w:rPr>
          <w:rFonts w:ascii="Calibri" w:hAnsi="Calibri" w:cs="Calibri"/>
        </w:rPr>
        <w:t xml:space="preserve">7. Sakpal TV. Sample Size Estimation in Clinical Trial. Perspect Clin Res. 2010;1:67–9. </w:t>
      </w:r>
    </w:p>
    <w:p w14:paraId="3603A4FC" w14:textId="64108B88" w:rsidR="00B83A2E" w:rsidRDefault="00B83A2E" w:rsidP="00B83A2E">
      <w:r>
        <w:fldChar w:fldCharType="end"/>
      </w:r>
    </w:p>
    <w:sectPr w:rsidR="00B83A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077B" w14:textId="77777777" w:rsidR="004C5508" w:rsidRDefault="004C5508" w:rsidP="006509DB">
      <w:pPr>
        <w:spacing w:after="0" w:line="240" w:lineRule="auto"/>
      </w:pPr>
      <w:r>
        <w:separator/>
      </w:r>
    </w:p>
  </w:endnote>
  <w:endnote w:type="continuationSeparator" w:id="0">
    <w:p w14:paraId="6CCBBDEB" w14:textId="77777777" w:rsidR="004C5508" w:rsidRDefault="004C5508" w:rsidP="0065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MTPro-BoldCondensed">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GillSansMTStd-Book">
    <w:altName w:val="Times New Roman"/>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CFD2" w14:textId="77777777" w:rsidR="004C5508" w:rsidRDefault="004C5508" w:rsidP="006509DB">
      <w:pPr>
        <w:spacing w:after="0" w:line="240" w:lineRule="auto"/>
      </w:pPr>
      <w:r>
        <w:separator/>
      </w:r>
    </w:p>
  </w:footnote>
  <w:footnote w:type="continuationSeparator" w:id="0">
    <w:p w14:paraId="49FF3B1C" w14:textId="77777777" w:rsidR="004C5508" w:rsidRDefault="004C5508" w:rsidP="00650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tDA3MzQxtjA0t7BQ0lEKTi0uzszPAykwqQUAaZnDMSwAAAA="/>
  </w:docVars>
  <w:rsids>
    <w:rsidRoot w:val="006509DB"/>
    <w:rsid w:val="00116022"/>
    <w:rsid w:val="001C7ECA"/>
    <w:rsid w:val="001F3261"/>
    <w:rsid w:val="00231C4E"/>
    <w:rsid w:val="00237748"/>
    <w:rsid w:val="0029537F"/>
    <w:rsid w:val="00480A4D"/>
    <w:rsid w:val="004C5508"/>
    <w:rsid w:val="005528D1"/>
    <w:rsid w:val="00572E4B"/>
    <w:rsid w:val="00573AEE"/>
    <w:rsid w:val="005F04A9"/>
    <w:rsid w:val="00650976"/>
    <w:rsid w:val="006509DB"/>
    <w:rsid w:val="00666FB4"/>
    <w:rsid w:val="00785935"/>
    <w:rsid w:val="007B441E"/>
    <w:rsid w:val="007C48F0"/>
    <w:rsid w:val="008369F3"/>
    <w:rsid w:val="008A491E"/>
    <w:rsid w:val="008C0C68"/>
    <w:rsid w:val="009616C2"/>
    <w:rsid w:val="00B46FC9"/>
    <w:rsid w:val="00B83A2E"/>
    <w:rsid w:val="00E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8CCE"/>
  <w15:chartTrackingRefBased/>
  <w15:docId w15:val="{81355519-0CEC-47A3-BD0F-E4A03919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9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509DB"/>
    <w:rPr>
      <w:rFonts w:ascii="GillSansMTPro-BoldCondensed" w:hAnsi="GillSansMTPro-BoldCondensed" w:hint="default"/>
      <w:b/>
      <w:bCs/>
      <w:i w:val="0"/>
      <w:iCs w:val="0"/>
      <w:color w:val="FF0000"/>
      <w:sz w:val="36"/>
      <w:szCs w:val="36"/>
    </w:rPr>
  </w:style>
  <w:style w:type="character" w:customStyle="1" w:styleId="fontstyle21">
    <w:name w:val="fontstyle21"/>
    <w:basedOn w:val="DefaultParagraphFont"/>
    <w:rsid w:val="006509DB"/>
    <w:rPr>
      <w:rFonts w:ascii="GillSansMTStd-Medium" w:hAnsi="GillSansMTStd-Medium" w:hint="default"/>
      <w:b w:val="0"/>
      <w:bCs w:val="0"/>
      <w:i w:val="0"/>
      <w:iCs w:val="0"/>
      <w:color w:val="231F20"/>
      <w:sz w:val="24"/>
      <w:szCs w:val="24"/>
    </w:rPr>
  </w:style>
  <w:style w:type="character" w:customStyle="1" w:styleId="fontstyle31">
    <w:name w:val="fontstyle31"/>
    <w:basedOn w:val="DefaultParagraphFont"/>
    <w:rsid w:val="006509DB"/>
    <w:rPr>
      <w:rFonts w:ascii="GillSansMTStd-Book" w:hAnsi="GillSansMTStd-Book" w:hint="default"/>
      <w:b w:val="0"/>
      <w:bCs w:val="0"/>
      <w:i w:val="0"/>
      <w:iCs w:val="0"/>
      <w:color w:val="231F20"/>
      <w:sz w:val="16"/>
      <w:szCs w:val="16"/>
    </w:rPr>
  </w:style>
  <w:style w:type="paragraph" w:styleId="Header">
    <w:name w:val="header"/>
    <w:basedOn w:val="Normal"/>
    <w:link w:val="HeaderChar"/>
    <w:uiPriority w:val="99"/>
    <w:unhideWhenUsed/>
    <w:rsid w:val="006509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09DB"/>
  </w:style>
  <w:style w:type="paragraph" w:styleId="Footer">
    <w:name w:val="footer"/>
    <w:basedOn w:val="Normal"/>
    <w:link w:val="FooterChar"/>
    <w:uiPriority w:val="99"/>
    <w:unhideWhenUsed/>
    <w:rsid w:val="006509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09DB"/>
  </w:style>
  <w:style w:type="character" w:customStyle="1" w:styleId="Heading1Char">
    <w:name w:val="Heading 1 Char"/>
    <w:basedOn w:val="DefaultParagraphFont"/>
    <w:link w:val="Heading1"/>
    <w:uiPriority w:val="9"/>
    <w:rsid w:val="006509DB"/>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6509DB"/>
    <w:rPr>
      <w:color w:val="808080"/>
    </w:rPr>
  </w:style>
  <w:style w:type="character" w:styleId="Hyperlink">
    <w:name w:val="Hyperlink"/>
    <w:rsid w:val="005F04A9"/>
    <w:rPr>
      <w:color w:val="0000FF"/>
      <w:u w:val="single"/>
    </w:rPr>
  </w:style>
  <w:style w:type="paragraph" w:styleId="Bibliography">
    <w:name w:val="Bibliography"/>
    <w:basedOn w:val="Normal"/>
    <w:next w:val="Normal"/>
    <w:uiPriority w:val="37"/>
    <w:unhideWhenUsed/>
    <w:rsid w:val="00B83A2E"/>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2078</Words>
  <Characters>11847</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do we Calculate Sample Size?</vt:lpstr>
    </vt:vector>
  </TitlesOfParts>
  <Company>SACC</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Marouf Alhalabi</dc:creator>
  <cp:keywords/>
  <dc:description/>
  <cp:lastModifiedBy>Marouf Alhalabi</cp:lastModifiedBy>
  <cp:revision>16</cp:revision>
  <dcterms:created xsi:type="dcterms:W3CDTF">2021-02-11T12:06:00Z</dcterms:created>
  <dcterms:modified xsi:type="dcterms:W3CDTF">2021-02-17T14:56:00Z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id="xv0jG4fY"/&gt;&lt;style id="http://www.zotero.org/styles/european-journal-of-medical-research" hasBibliography="1" bibliographyStyleHasBeenSet="1"/&gt;&lt;prefs&gt;&lt;pref name="fieldType" value="Field"/&gt;&lt;/pref</vt:lpwstr>
  </property>
  <property fmtid="{D5CDD505-2E9C-101B-9397-08002B2CF9AE}" pid="3" name="ZOTERO_PREF_2">
    <vt:lpwstr>s&gt;&lt;/data&gt;</vt:lpwstr>
  </property>
</Properties>
</file>