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E4" w:rsidRPr="00AB546F" w:rsidRDefault="00A70BE4" w:rsidP="00AB546F">
      <w:pPr>
        <w:jc w:val="center"/>
        <w:rPr>
          <w:rFonts w:ascii="Times New Roman" w:hAnsi="Times New Roman" w:cs="Times New Roman"/>
          <w:b/>
          <w:sz w:val="24"/>
          <w:szCs w:val="24"/>
          <w:lang w:val="en-US"/>
        </w:rPr>
      </w:pPr>
      <w:r w:rsidRPr="00AB546F">
        <w:rPr>
          <w:rFonts w:ascii="Times New Roman" w:hAnsi="Times New Roman" w:cs="Times New Roman"/>
          <w:b/>
          <w:sz w:val="24"/>
          <w:szCs w:val="24"/>
          <w:lang w:val="en-US"/>
        </w:rPr>
        <w:t xml:space="preserve">Supplementary Text </w:t>
      </w:r>
      <w:r w:rsidR="00FC5E27" w:rsidRPr="00AB546F">
        <w:rPr>
          <w:rFonts w:ascii="Times New Roman" w:hAnsi="Times New Roman" w:cs="Times New Roman"/>
          <w:b/>
          <w:sz w:val="24"/>
          <w:szCs w:val="24"/>
          <w:lang w:val="en-US"/>
        </w:rPr>
        <w:t>S</w:t>
      </w:r>
      <w:r w:rsidRPr="00AB546F">
        <w:rPr>
          <w:rFonts w:ascii="Times New Roman" w:hAnsi="Times New Roman" w:cs="Times New Roman"/>
          <w:b/>
          <w:sz w:val="24"/>
          <w:szCs w:val="24"/>
          <w:lang w:val="en-US"/>
        </w:rPr>
        <w:t>1</w:t>
      </w:r>
    </w:p>
    <w:p w:rsidR="001358B2" w:rsidRPr="00AB546F" w:rsidRDefault="001358B2" w:rsidP="007456F2">
      <w:pPr>
        <w:jc w:val="both"/>
        <w:rPr>
          <w:rFonts w:ascii="Times New Roman" w:hAnsi="Times New Roman" w:cs="Times New Roman"/>
          <w:b/>
          <w:sz w:val="20"/>
          <w:szCs w:val="20"/>
          <w:lang w:val="en-GB"/>
        </w:rPr>
      </w:pPr>
      <w:r w:rsidRPr="00AB546F">
        <w:rPr>
          <w:rFonts w:ascii="Times New Roman" w:hAnsi="Times New Roman" w:cs="Times New Roman"/>
          <w:b/>
          <w:sz w:val="20"/>
          <w:szCs w:val="20"/>
          <w:lang w:val="en-GB"/>
        </w:rPr>
        <w:t>Transmission model</w:t>
      </w:r>
    </w:p>
    <w:p w:rsidR="007932A2" w:rsidRPr="00AB546F" w:rsidRDefault="00E01D0E" w:rsidP="00AB546F">
      <w:pPr>
        <w:spacing w:line="240" w:lineRule="auto"/>
        <w:jc w:val="both"/>
        <w:rPr>
          <w:rFonts w:ascii="Times New Roman" w:hAnsi="Times New Roman" w:cs="Times New Roman"/>
          <w:sz w:val="20"/>
          <w:szCs w:val="20"/>
          <w:lang w:val="en-GB"/>
        </w:rPr>
      </w:pPr>
      <w:r w:rsidRPr="00AB546F">
        <w:rPr>
          <w:rFonts w:ascii="Times New Roman" w:hAnsi="Times New Roman" w:cs="Times New Roman"/>
          <w:sz w:val="20"/>
          <w:szCs w:val="20"/>
          <w:lang w:val="en-US"/>
        </w:rPr>
        <w:t>We developed a stochastic agent-based, discrete-time model, applied to simulate the transmission of ESBL-EC among household members</w:t>
      </w:r>
      <w:r w:rsidR="00325629" w:rsidRPr="00AB546F">
        <w:rPr>
          <w:rFonts w:ascii="Times New Roman" w:hAnsi="Times New Roman" w:cs="Times New Roman"/>
          <w:sz w:val="20"/>
          <w:szCs w:val="20"/>
          <w:lang w:val="en-US"/>
        </w:rPr>
        <w:t xml:space="preserve">. </w:t>
      </w:r>
      <w:r w:rsidR="00892C66" w:rsidRPr="00AB546F">
        <w:rPr>
          <w:rFonts w:ascii="Times New Roman" w:hAnsi="Times New Roman" w:cs="Times New Roman"/>
          <w:sz w:val="20"/>
          <w:szCs w:val="20"/>
          <w:lang w:val="en-US"/>
        </w:rPr>
        <w:t xml:space="preserve">Individuals are characterized by several variables; e.g., </w:t>
      </w:r>
      <w:r w:rsidR="00436F06" w:rsidRPr="00AB546F">
        <w:rPr>
          <w:rFonts w:ascii="Times New Roman" w:hAnsi="Times New Roman" w:cs="Times New Roman"/>
          <w:sz w:val="20"/>
          <w:szCs w:val="20"/>
          <w:lang w:val="en-US"/>
        </w:rPr>
        <w:t xml:space="preserve">class </w:t>
      </w:r>
      <w:r w:rsidR="00892C66" w:rsidRPr="00AB546F">
        <w:rPr>
          <w:rFonts w:ascii="Times New Roman" w:hAnsi="Times New Roman" w:cs="Times New Roman"/>
          <w:sz w:val="20"/>
          <w:szCs w:val="20"/>
          <w:lang w:val="en-US"/>
        </w:rPr>
        <w:t>age</w:t>
      </w:r>
      <w:r w:rsidR="00B27CF4" w:rsidRPr="00AB546F">
        <w:rPr>
          <w:rFonts w:ascii="Times New Roman" w:hAnsi="Times New Roman" w:cs="Times New Roman"/>
          <w:sz w:val="20"/>
          <w:szCs w:val="20"/>
          <w:lang w:val="en-US"/>
        </w:rPr>
        <w:t xml:space="preserve"> (adults, children</w:t>
      </w:r>
      <w:r w:rsidR="00B27CF4" w:rsidRPr="00AB546F">
        <w:rPr>
          <w:rFonts w:ascii="Times New Roman" w:hAnsi="Times New Roman" w:cs="Times New Roman"/>
          <w:sz w:val="20"/>
          <w:szCs w:val="20"/>
          <w:lang w:val="en-GB"/>
        </w:rPr>
        <w:t>≥ 3 years old, babies &lt; 3 years</w:t>
      </w:r>
      <w:r w:rsidR="00B27CF4" w:rsidRPr="00AB546F">
        <w:rPr>
          <w:rFonts w:ascii="Times New Roman" w:hAnsi="Times New Roman" w:cs="Times New Roman"/>
          <w:sz w:val="20"/>
          <w:szCs w:val="20"/>
          <w:lang w:val="en-US"/>
        </w:rPr>
        <w:t xml:space="preserve"> )</w:t>
      </w:r>
      <w:r w:rsidR="00892C66" w:rsidRPr="00AB546F">
        <w:rPr>
          <w:rFonts w:ascii="Times New Roman" w:hAnsi="Times New Roman" w:cs="Times New Roman"/>
          <w:sz w:val="20"/>
          <w:szCs w:val="20"/>
          <w:lang w:val="en-US"/>
        </w:rPr>
        <w:t xml:space="preserve">, exposition to antibiotics, number of contacts </w:t>
      </w:r>
      <w:r w:rsidR="002242C0" w:rsidRPr="00AB546F">
        <w:rPr>
          <w:rFonts w:ascii="Times New Roman" w:hAnsi="Times New Roman" w:cs="Times New Roman"/>
          <w:sz w:val="20"/>
          <w:szCs w:val="20"/>
          <w:lang w:val="en-US"/>
        </w:rPr>
        <w:t xml:space="preserve">with family members </w:t>
      </w:r>
      <w:r w:rsidR="00892C66" w:rsidRPr="00AB546F">
        <w:rPr>
          <w:rFonts w:ascii="Times New Roman" w:hAnsi="Times New Roman" w:cs="Times New Roman"/>
          <w:sz w:val="20"/>
          <w:szCs w:val="20"/>
          <w:lang w:val="en-US"/>
        </w:rPr>
        <w:t xml:space="preserve">and hand hygiene behavior. </w:t>
      </w:r>
      <w:r w:rsidR="00BB4C62" w:rsidRPr="00AB546F">
        <w:rPr>
          <w:rFonts w:ascii="Times New Roman" w:hAnsi="Times New Roman" w:cs="Times New Roman"/>
          <w:sz w:val="20"/>
          <w:szCs w:val="20"/>
          <w:lang w:val="en-GB"/>
        </w:rPr>
        <w:t>Each individual may</w:t>
      </w:r>
      <w:r w:rsidR="007932A2" w:rsidRPr="00AB546F">
        <w:rPr>
          <w:rFonts w:ascii="Times New Roman" w:hAnsi="Times New Roman" w:cs="Times New Roman"/>
          <w:sz w:val="20"/>
          <w:szCs w:val="20"/>
          <w:lang w:val="en-GB"/>
        </w:rPr>
        <w:t xml:space="preserve"> be in one of four infectious states: 1) susceptible (negative for ESBL-EC), 2) contaminated (hands), 3) colonised (in the digestive tract) or 4) colonised and contaminated.</w:t>
      </w:r>
      <w:r w:rsidR="00656D62" w:rsidRPr="00AB546F">
        <w:rPr>
          <w:rFonts w:ascii="Times New Roman" w:hAnsi="Times New Roman" w:cs="Times New Roman"/>
          <w:sz w:val="20"/>
          <w:szCs w:val="20"/>
          <w:lang w:val="en-GB"/>
        </w:rPr>
        <w:t xml:space="preserve"> </w:t>
      </w:r>
    </w:p>
    <w:p w:rsidR="000C023D" w:rsidRPr="00AB546F" w:rsidRDefault="00892C66"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The model use</w:t>
      </w:r>
      <w:r w:rsidR="00BB4C62" w:rsidRPr="00AB546F">
        <w:rPr>
          <w:rFonts w:ascii="Times New Roman" w:hAnsi="Times New Roman" w:cs="Times New Roman"/>
          <w:sz w:val="20"/>
          <w:szCs w:val="20"/>
          <w:lang w:val="en-US"/>
        </w:rPr>
        <w:t xml:space="preserve">s </w:t>
      </w:r>
      <w:r w:rsidRPr="00AB546F">
        <w:rPr>
          <w:rFonts w:ascii="Times New Roman" w:hAnsi="Times New Roman" w:cs="Times New Roman"/>
          <w:sz w:val="20"/>
          <w:szCs w:val="20"/>
          <w:lang w:val="en-US"/>
        </w:rPr>
        <w:t xml:space="preserve">a time step of one day. </w:t>
      </w:r>
      <w:r w:rsidR="009D2745" w:rsidRPr="00AB546F">
        <w:rPr>
          <w:rFonts w:ascii="Times New Roman" w:hAnsi="Times New Roman" w:cs="Times New Roman"/>
          <w:sz w:val="20"/>
          <w:szCs w:val="20"/>
          <w:lang w:val="en-US"/>
        </w:rPr>
        <w:t xml:space="preserve">After the introduction of a colonized person, </w:t>
      </w:r>
      <w:r w:rsidR="004953D5" w:rsidRPr="00AB546F">
        <w:rPr>
          <w:rFonts w:ascii="Times New Roman" w:hAnsi="Times New Roman" w:cs="Times New Roman"/>
          <w:sz w:val="20"/>
          <w:szCs w:val="20"/>
          <w:lang w:val="en-US"/>
        </w:rPr>
        <w:t xml:space="preserve">and then, for each colonized, </w:t>
      </w:r>
      <w:r w:rsidR="009D2745" w:rsidRPr="00AB546F">
        <w:rPr>
          <w:rFonts w:ascii="Times New Roman" w:hAnsi="Times New Roman" w:cs="Times New Roman"/>
          <w:sz w:val="20"/>
          <w:szCs w:val="20"/>
          <w:lang w:val="en-US"/>
        </w:rPr>
        <w:t xml:space="preserve">there </w:t>
      </w:r>
      <w:r w:rsidR="00BB4C62" w:rsidRPr="00AB546F">
        <w:rPr>
          <w:rFonts w:ascii="Times New Roman" w:hAnsi="Times New Roman" w:cs="Times New Roman"/>
          <w:sz w:val="20"/>
          <w:szCs w:val="20"/>
          <w:lang w:val="en-US"/>
        </w:rPr>
        <w:t xml:space="preserve">is </w:t>
      </w:r>
      <w:r w:rsidR="009D2745" w:rsidRPr="00AB546F">
        <w:rPr>
          <w:rFonts w:ascii="Times New Roman" w:hAnsi="Times New Roman" w:cs="Times New Roman"/>
          <w:sz w:val="20"/>
          <w:szCs w:val="20"/>
          <w:lang w:val="en-US"/>
        </w:rPr>
        <w:t>a daily probability of hands</w:t>
      </w:r>
      <w:r w:rsidR="00167C1A" w:rsidRPr="00AB546F">
        <w:rPr>
          <w:rFonts w:ascii="Times New Roman" w:hAnsi="Times New Roman" w:cs="Times New Roman"/>
          <w:sz w:val="20"/>
          <w:szCs w:val="20"/>
          <w:lang w:val="en-US"/>
        </w:rPr>
        <w:t xml:space="preserve"> contamination by using </w:t>
      </w:r>
      <w:r w:rsidR="00A273F2" w:rsidRPr="00AB546F">
        <w:rPr>
          <w:rFonts w:ascii="Times New Roman" w:hAnsi="Times New Roman" w:cs="Times New Roman"/>
          <w:sz w:val="20"/>
          <w:szCs w:val="20"/>
          <w:lang w:val="en-US"/>
        </w:rPr>
        <w:t>the toilet</w:t>
      </w:r>
      <w:r w:rsidR="00167C1A" w:rsidRPr="00AB546F">
        <w:rPr>
          <w:rFonts w:ascii="Times New Roman" w:hAnsi="Times New Roman" w:cs="Times New Roman"/>
          <w:sz w:val="20"/>
          <w:szCs w:val="20"/>
          <w:lang w:val="en-US"/>
        </w:rPr>
        <w:t xml:space="preserve"> </w:t>
      </w:r>
      <w:r w:rsidR="009D2745" w:rsidRPr="00AB546F">
        <w:rPr>
          <w:rFonts w:ascii="Times New Roman" w:hAnsi="Times New Roman" w:cs="Times New Roman"/>
          <w:sz w:val="20"/>
          <w:szCs w:val="20"/>
          <w:lang w:val="en-US"/>
        </w:rPr>
        <w:t>(or if a</w:t>
      </w:r>
      <w:r w:rsidR="00C97C7C" w:rsidRPr="00AB546F">
        <w:rPr>
          <w:rFonts w:ascii="Times New Roman" w:hAnsi="Times New Roman" w:cs="Times New Roman"/>
          <w:sz w:val="20"/>
          <w:szCs w:val="20"/>
          <w:lang w:val="en-US"/>
        </w:rPr>
        <w:t>n</w:t>
      </w:r>
      <w:r w:rsidR="009D2745" w:rsidRPr="00AB546F">
        <w:rPr>
          <w:rFonts w:ascii="Times New Roman" w:hAnsi="Times New Roman" w:cs="Times New Roman"/>
          <w:sz w:val="20"/>
          <w:szCs w:val="20"/>
          <w:lang w:val="en-US"/>
        </w:rPr>
        <w:t xml:space="preserve"> index person </w:t>
      </w:r>
      <w:r w:rsidR="00BB4C62" w:rsidRPr="00AB546F">
        <w:rPr>
          <w:rFonts w:ascii="Times New Roman" w:hAnsi="Times New Roman" w:cs="Times New Roman"/>
          <w:sz w:val="20"/>
          <w:szCs w:val="20"/>
          <w:lang w:val="en-US"/>
        </w:rPr>
        <w:t>i</w:t>
      </w:r>
      <w:r w:rsidR="00567591" w:rsidRPr="00AB546F">
        <w:rPr>
          <w:rFonts w:ascii="Times New Roman" w:hAnsi="Times New Roman" w:cs="Times New Roman"/>
          <w:sz w:val="20"/>
          <w:szCs w:val="20"/>
          <w:lang w:val="en-US"/>
        </w:rPr>
        <w:t>s</w:t>
      </w:r>
      <w:r w:rsidR="009D2745" w:rsidRPr="00AB546F">
        <w:rPr>
          <w:rFonts w:ascii="Times New Roman" w:hAnsi="Times New Roman" w:cs="Times New Roman"/>
          <w:sz w:val="20"/>
          <w:szCs w:val="20"/>
          <w:lang w:val="en-US"/>
        </w:rPr>
        <w:t xml:space="preserve"> a baby, by changing diapers). </w:t>
      </w:r>
      <w:r w:rsidR="0015509F" w:rsidRPr="00AB546F">
        <w:rPr>
          <w:rFonts w:ascii="Times New Roman" w:hAnsi="Times New Roman" w:cs="Times New Roman"/>
          <w:sz w:val="20"/>
          <w:szCs w:val="20"/>
          <w:lang w:val="en-US"/>
        </w:rPr>
        <w:t xml:space="preserve">This probability </w:t>
      </w:r>
      <w:proofErr w:type="spellStart"/>
      <w:r w:rsidR="0015509F" w:rsidRPr="00AB546F">
        <w:rPr>
          <w:rFonts w:ascii="Times New Roman" w:hAnsi="Times New Roman" w:cs="Times New Roman"/>
          <w:i/>
          <w:sz w:val="20"/>
          <w:szCs w:val="20"/>
          <w:lang w:val="en-US"/>
        </w:rPr>
        <w:t>P</w:t>
      </w:r>
      <w:r w:rsidR="000C023D" w:rsidRPr="00AB546F">
        <w:rPr>
          <w:rFonts w:ascii="Times New Roman" w:hAnsi="Times New Roman" w:cs="Times New Roman"/>
          <w:i/>
          <w:sz w:val="20"/>
          <w:szCs w:val="20"/>
          <w:vertAlign w:val="subscript"/>
          <w:lang w:val="en-US"/>
        </w:rPr>
        <w:t>cont</w:t>
      </w:r>
      <w:proofErr w:type="spellEnd"/>
      <w:r w:rsidR="000C023D" w:rsidRPr="00AB546F">
        <w:rPr>
          <w:rFonts w:ascii="Times New Roman" w:hAnsi="Times New Roman" w:cs="Times New Roman"/>
          <w:sz w:val="20"/>
          <w:szCs w:val="20"/>
          <w:lang w:val="en-US"/>
        </w:rPr>
        <w:t xml:space="preserve"> depend</w:t>
      </w:r>
      <w:r w:rsidR="00320422" w:rsidRPr="00AB546F">
        <w:rPr>
          <w:rFonts w:ascii="Times New Roman" w:hAnsi="Times New Roman" w:cs="Times New Roman"/>
          <w:sz w:val="20"/>
          <w:szCs w:val="20"/>
          <w:lang w:val="en-US"/>
        </w:rPr>
        <w:t>s</w:t>
      </w:r>
      <w:r w:rsidR="000C023D" w:rsidRPr="00AB546F">
        <w:rPr>
          <w:rFonts w:ascii="Times New Roman" w:hAnsi="Times New Roman" w:cs="Times New Roman"/>
          <w:sz w:val="20"/>
          <w:szCs w:val="20"/>
          <w:lang w:val="en-US"/>
        </w:rPr>
        <w:t xml:space="preserve"> on the </w:t>
      </w:r>
      <w:r w:rsidR="00567591" w:rsidRPr="00AB546F">
        <w:rPr>
          <w:rFonts w:ascii="Times New Roman" w:hAnsi="Times New Roman" w:cs="Times New Roman"/>
          <w:sz w:val="20"/>
          <w:szCs w:val="20"/>
          <w:lang w:val="en-US"/>
        </w:rPr>
        <w:t xml:space="preserve">daily frequency of </w:t>
      </w:r>
      <w:r w:rsidR="004953D5" w:rsidRPr="00AB546F">
        <w:rPr>
          <w:rFonts w:ascii="Times New Roman" w:hAnsi="Times New Roman" w:cs="Times New Roman"/>
          <w:sz w:val="20"/>
          <w:szCs w:val="20"/>
          <w:lang w:val="en-US"/>
        </w:rPr>
        <w:t xml:space="preserve">using </w:t>
      </w:r>
      <w:r w:rsidR="00A273F2" w:rsidRPr="00AB546F">
        <w:rPr>
          <w:rFonts w:ascii="Times New Roman" w:hAnsi="Times New Roman" w:cs="Times New Roman"/>
          <w:sz w:val="20"/>
          <w:szCs w:val="20"/>
          <w:lang w:val="en-US"/>
        </w:rPr>
        <w:t>the toilet</w:t>
      </w:r>
      <w:r w:rsidR="004953D5" w:rsidRPr="00AB546F">
        <w:rPr>
          <w:rFonts w:ascii="Times New Roman" w:hAnsi="Times New Roman" w:cs="Times New Roman"/>
          <w:sz w:val="20"/>
          <w:szCs w:val="20"/>
          <w:lang w:val="en-US"/>
        </w:rPr>
        <w:t>/changing diapers,</w:t>
      </w:r>
      <w:r w:rsidR="00567591" w:rsidRPr="00AB546F">
        <w:rPr>
          <w:rFonts w:ascii="Times New Roman" w:hAnsi="Times New Roman" w:cs="Times New Roman"/>
          <w:sz w:val="20"/>
          <w:szCs w:val="20"/>
          <w:lang w:val="en-US"/>
        </w:rPr>
        <w:t xml:space="preserve"> </w:t>
      </w:r>
      <w:proofErr w:type="spellStart"/>
      <w:r w:rsidR="00F72F10" w:rsidRPr="00AB546F">
        <w:rPr>
          <w:rFonts w:ascii="Times New Roman" w:hAnsi="Times New Roman" w:cs="Times New Roman"/>
          <w:i/>
          <w:sz w:val="20"/>
          <w:szCs w:val="20"/>
          <w:lang w:val="en-US"/>
        </w:rPr>
        <w:t>c</w:t>
      </w:r>
      <w:r w:rsidR="00733775" w:rsidRPr="00AB546F">
        <w:rPr>
          <w:rFonts w:ascii="Times New Roman" w:hAnsi="Times New Roman" w:cs="Times New Roman"/>
          <w:i/>
          <w:sz w:val="20"/>
          <w:szCs w:val="20"/>
          <w:vertAlign w:val="subscript"/>
          <w:lang w:val="en-US"/>
        </w:rPr>
        <w:t>cont</w:t>
      </w:r>
      <w:proofErr w:type="spellEnd"/>
      <w:r w:rsidR="00567591" w:rsidRPr="00AB546F">
        <w:rPr>
          <w:rFonts w:ascii="Times New Roman" w:hAnsi="Times New Roman" w:cs="Times New Roman"/>
          <w:sz w:val="20"/>
          <w:szCs w:val="20"/>
          <w:lang w:val="en-US"/>
        </w:rPr>
        <w:t>,</w:t>
      </w:r>
      <w:r w:rsidR="00567591" w:rsidRPr="00AB546F">
        <w:rPr>
          <w:rFonts w:ascii="Times New Roman" w:hAnsi="Times New Roman" w:cs="Times New Roman"/>
          <w:sz w:val="20"/>
          <w:szCs w:val="20"/>
          <w:vertAlign w:val="subscript"/>
          <w:lang w:val="en-US"/>
        </w:rPr>
        <w:t xml:space="preserve"> </w:t>
      </w:r>
      <w:r w:rsidR="000C023D" w:rsidRPr="00AB546F">
        <w:rPr>
          <w:rFonts w:ascii="Times New Roman" w:hAnsi="Times New Roman" w:cs="Times New Roman"/>
          <w:sz w:val="20"/>
          <w:szCs w:val="20"/>
          <w:lang w:val="en-US"/>
        </w:rPr>
        <w:t xml:space="preserve">probability of </w:t>
      </w:r>
      <w:r w:rsidR="005B3E54" w:rsidRPr="00AB546F">
        <w:rPr>
          <w:rFonts w:ascii="Times New Roman" w:hAnsi="Times New Roman" w:cs="Times New Roman"/>
          <w:sz w:val="20"/>
          <w:szCs w:val="20"/>
          <w:lang w:val="en-US"/>
        </w:rPr>
        <w:t>hand contamination after contact with the excrement (</w:t>
      </w:r>
      <w:proofErr w:type="spellStart"/>
      <w:r w:rsidR="005B3E54" w:rsidRPr="00AB546F">
        <w:rPr>
          <w:rFonts w:ascii="Times New Roman" w:hAnsi="Times New Roman" w:cs="Times New Roman"/>
          <w:i/>
          <w:sz w:val="20"/>
          <w:szCs w:val="20"/>
          <w:lang w:val="en-US"/>
        </w:rPr>
        <w:t>p</w:t>
      </w:r>
      <w:r w:rsidR="00733775" w:rsidRPr="00AB546F">
        <w:rPr>
          <w:rFonts w:ascii="Times New Roman" w:hAnsi="Times New Roman" w:cs="Times New Roman"/>
          <w:i/>
          <w:sz w:val="20"/>
          <w:szCs w:val="20"/>
          <w:vertAlign w:val="subscript"/>
          <w:lang w:val="en-US"/>
        </w:rPr>
        <w:t>cont</w:t>
      </w:r>
      <w:proofErr w:type="spellEnd"/>
      <w:r w:rsidR="005B3E54" w:rsidRPr="00AB546F">
        <w:rPr>
          <w:rFonts w:ascii="Times New Roman" w:hAnsi="Times New Roman" w:cs="Times New Roman"/>
          <w:sz w:val="20"/>
          <w:szCs w:val="20"/>
          <w:lang w:val="en-US"/>
        </w:rPr>
        <w:t xml:space="preserve">), </w:t>
      </w:r>
      <w:r w:rsidR="00567591" w:rsidRPr="00AB546F">
        <w:rPr>
          <w:rFonts w:ascii="Times New Roman" w:hAnsi="Times New Roman" w:cs="Times New Roman"/>
          <w:sz w:val="20"/>
          <w:szCs w:val="20"/>
          <w:lang w:val="en-US"/>
        </w:rPr>
        <w:t>and</w:t>
      </w:r>
      <w:r w:rsidR="000C023D" w:rsidRPr="00AB546F">
        <w:rPr>
          <w:rFonts w:ascii="Times New Roman" w:hAnsi="Times New Roman" w:cs="Times New Roman"/>
          <w:sz w:val="20"/>
          <w:szCs w:val="20"/>
          <w:lang w:val="en-US"/>
        </w:rPr>
        <w:t xml:space="preserve"> </w:t>
      </w:r>
      <w:r w:rsidR="005B3E54" w:rsidRPr="00AB546F">
        <w:rPr>
          <w:rFonts w:ascii="Times New Roman" w:hAnsi="Times New Roman" w:cs="Times New Roman"/>
          <w:sz w:val="20"/>
          <w:szCs w:val="20"/>
          <w:lang w:val="en-US"/>
        </w:rPr>
        <w:t>compliance with hand hygiene after contact with the excrement (</w:t>
      </w:r>
      <w:proofErr w:type="spellStart"/>
      <w:r w:rsidR="005B3E54" w:rsidRPr="00AB546F">
        <w:rPr>
          <w:rFonts w:ascii="Times New Roman" w:hAnsi="Times New Roman" w:cs="Times New Roman"/>
          <w:i/>
          <w:sz w:val="20"/>
          <w:szCs w:val="20"/>
          <w:lang w:val="en-US"/>
        </w:rPr>
        <w:t>hh</w:t>
      </w:r>
      <w:r w:rsidR="00733775" w:rsidRPr="00AB546F">
        <w:rPr>
          <w:rFonts w:ascii="Times New Roman" w:hAnsi="Times New Roman" w:cs="Times New Roman"/>
          <w:i/>
          <w:sz w:val="20"/>
          <w:szCs w:val="20"/>
          <w:vertAlign w:val="subscript"/>
          <w:lang w:val="en-US"/>
        </w:rPr>
        <w:t>cont</w:t>
      </w:r>
      <w:proofErr w:type="spellEnd"/>
      <w:r w:rsidR="005B3E54" w:rsidRPr="00AB546F">
        <w:rPr>
          <w:rFonts w:ascii="Times New Roman" w:hAnsi="Times New Roman" w:cs="Times New Roman"/>
          <w:sz w:val="20"/>
          <w:szCs w:val="20"/>
          <w:lang w:val="en-US"/>
        </w:rPr>
        <w:t>).</w:t>
      </w:r>
    </w:p>
    <w:p w:rsidR="00C02507" w:rsidRPr="00AB546F" w:rsidRDefault="005B3E54" w:rsidP="00AB546F">
      <w:pPr>
        <w:spacing w:line="240" w:lineRule="auto"/>
        <w:jc w:val="both"/>
        <w:rPr>
          <w:rFonts w:ascii="Times New Roman" w:hAnsi="Times New Roman" w:cs="Times New Roman"/>
          <w:sz w:val="20"/>
          <w:szCs w:val="20"/>
          <w:lang w:val="en-US"/>
        </w:rPr>
      </w:pPr>
      <w:proofErr w:type="spellStart"/>
      <w:r w:rsidRPr="00AB546F">
        <w:rPr>
          <w:rFonts w:ascii="Times New Roman" w:hAnsi="Times New Roman" w:cs="Times New Roman"/>
          <w:i/>
          <w:sz w:val="20"/>
          <w:szCs w:val="20"/>
          <w:lang w:val="en-US"/>
        </w:rPr>
        <w:t>P</w:t>
      </w:r>
      <w:r w:rsidR="00733775" w:rsidRPr="00AB546F">
        <w:rPr>
          <w:rFonts w:ascii="Times New Roman" w:hAnsi="Times New Roman" w:cs="Times New Roman"/>
          <w:i/>
          <w:sz w:val="20"/>
          <w:szCs w:val="20"/>
          <w:vertAlign w:val="subscript"/>
          <w:lang w:val="en-US"/>
        </w:rPr>
        <w:t>cont</w:t>
      </w:r>
      <w:proofErr w:type="spellEnd"/>
      <w:r w:rsidRPr="00AB546F">
        <w:rPr>
          <w:rFonts w:ascii="Times New Roman" w:hAnsi="Times New Roman" w:cs="Times New Roman"/>
          <w:sz w:val="20"/>
          <w:szCs w:val="20"/>
          <w:lang w:val="en-US"/>
        </w:rPr>
        <w:t xml:space="preserve">= [1 – (1- </w:t>
      </w:r>
      <w:proofErr w:type="spellStart"/>
      <w:r w:rsidRPr="00AB546F">
        <w:rPr>
          <w:rFonts w:ascii="Times New Roman" w:hAnsi="Times New Roman" w:cs="Times New Roman"/>
          <w:i/>
          <w:sz w:val="20"/>
          <w:szCs w:val="20"/>
          <w:lang w:val="en-US"/>
        </w:rPr>
        <w:t>p</w:t>
      </w:r>
      <w:r w:rsidR="00733775" w:rsidRPr="00AB546F">
        <w:rPr>
          <w:rFonts w:ascii="Times New Roman" w:hAnsi="Times New Roman" w:cs="Times New Roman"/>
          <w:i/>
          <w:sz w:val="20"/>
          <w:szCs w:val="20"/>
          <w:vertAlign w:val="subscript"/>
          <w:lang w:val="en-US"/>
        </w:rPr>
        <w:t>cont</w:t>
      </w:r>
      <w:proofErr w:type="spellEnd"/>
      <w:r w:rsidRPr="00AB546F">
        <w:rPr>
          <w:rFonts w:ascii="Times New Roman" w:hAnsi="Times New Roman" w:cs="Times New Roman"/>
          <w:sz w:val="20"/>
          <w:szCs w:val="20"/>
          <w:lang w:val="en-US"/>
        </w:rPr>
        <w:t>)</w:t>
      </w:r>
      <w:r w:rsidR="00733775" w:rsidRPr="00AB546F">
        <w:rPr>
          <w:rFonts w:ascii="Times New Roman" w:hAnsi="Times New Roman" w:cs="Times New Roman"/>
          <w:sz w:val="20"/>
          <w:szCs w:val="20"/>
          <w:vertAlign w:val="superscript"/>
          <w:lang w:val="en-US"/>
        </w:rPr>
        <w:t xml:space="preserve"> </w:t>
      </w:r>
      <w:proofErr w:type="spellStart"/>
      <w:proofErr w:type="gramStart"/>
      <w:r w:rsidR="00F72F10" w:rsidRPr="00AB546F">
        <w:rPr>
          <w:rFonts w:ascii="Times New Roman" w:hAnsi="Times New Roman" w:cs="Times New Roman"/>
          <w:i/>
          <w:sz w:val="20"/>
          <w:szCs w:val="20"/>
          <w:vertAlign w:val="superscript"/>
          <w:lang w:val="en-US"/>
        </w:rPr>
        <w:t>ccont</w:t>
      </w:r>
      <w:proofErr w:type="spellEnd"/>
      <w:r w:rsidRPr="00AB546F">
        <w:rPr>
          <w:rFonts w:ascii="Times New Roman" w:hAnsi="Times New Roman" w:cs="Times New Roman"/>
          <w:sz w:val="20"/>
          <w:szCs w:val="20"/>
          <w:lang w:val="en-US"/>
        </w:rPr>
        <w:t xml:space="preserve">  ]</w:t>
      </w:r>
      <w:proofErr w:type="gramEnd"/>
      <w:r w:rsidRPr="00AB546F">
        <w:rPr>
          <w:rFonts w:ascii="Times New Roman" w:hAnsi="Times New Roman" w:cs="Times New Roman"/>
          <w:sz w:val="20"/>
          <w:szCs w:val="20"/>
          <w:lang w:val="en-US"/>
        </w:rPr>
        <w:t>* (1-</w:t>
      </w:r>
      <w:r w:rsidRPr="00AB546F">
        <w:rPr>
          <w:rFonts w:ascii="Times New Roman" w:hAnsi="Times New Roman" w:cs="Times New Roman"/>
          <w:i/>
          <w:sz w:val="20"/>
          <w:szCs w:val="20"/>
          <w:lang w:val="en-US"/>
        </w:rPr>
        <w:t>hh</w:t>
      </w:r>
      <w:r w:rsidR="00733775" w:rsidRPr="00AB546F">
        <w:rPr>
          <w:rFonts w:ascii="Times New Roman" w:hAnsi="Times New Roman" w:cs="Times New Roman"/>
          <w:i/>
          <w:sz w:val="20"/>
          <w:szCs w:val="20"/>
          <w:vertAlign w:val="subscript"/>
          <w:lang w:val="en-US"/>
        </w:rPr>
        <w:t>cont</w:t>
      </w:r>
      <w:r w:rsidRPr="00AB546F">
        <w:rPr>
          <w:rFonts w:ascii="Times New Roman" w:hAnsi="Times New Roman" w:cs="Times New Roman"/>
          <w:sz w:val="20"/>
          <w:szCs w:val="20"/>
          <w:lang w:val="en-US"/>
        </w:rPr>
        <w:t>)</w:t>
      </w:r>
      <w:r w:rsidR="00EE1F47" w:rsidRPr="00AB546F">
        <w:rPr>
          <w:rFonts w:ascii="Times New Roman" w:hAnsi="Times New Roman" w:cs="Times New Roman"/>
          <w:sz w:val="20"/>
          <w:szCs w:val="20"/>
          <w:lang w:val="en-US"/>
        </w:rPr>
        <w:t xml:space="preserve">, </w:t>
      </w:r>
    </w:p>
    <w:p w:rsidR="0015356A" w:rsidRPr="00AB546F" w:rsidRDefault="009D2745"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O</w:t>
      </w:r>
      <w:r w:rsidR="00892C66" w:rsidRPr="00AB546F">
        <w:rPr>
          <w:rFonts w:ascii="Times New Roman" w:hAnsi="Times New Roman" w:cs="Times New Roman"/>
          <w:sz w:val="20"/>
          <w:szCs w:val="20"/>
          <w:lang w:val="en-US"/>
        </w:rPr>
        <w:t>n each day of the simulation</w:t>
      </w:r>
      <w:r w:rsidR="00B0255B" w:rsidRPr="00AB546F">
        <w:rPr>
          <w:rFonts w:ascii="Times New Roman" w:hAnsi="Times New Roman" w:cs="Times New Roman"/>
          <w:sz w:val="20"/>
          <w:szCs w:val="20"/>
          <w:lang w:val="en-US"/>
        </w:rPr>
        <w:t>,</w:t>
      </w:r>
      <w:r w:rsidR="00892C66" w:rsidRPr="00AB546F">
        <w:rPr>
          <w:rFonts w:ascii="Times New Roman" w:hAnsi="Times New Roman" w:cs="Times New Roman"/>
          <w:sz w:val="20"/>
          <w:szCs w:val="20"/>
          <w:lang w:val="en-US"/>
        </w:rPr>
        <w:t xml:space="preserve"> </w:t>
      </w:r>
      <w:r w:rsidR="0015356A" w:rsidRPr="00AB546F">
        <w:rPr>
          <w:rFonts w:ascii="Times New Roman" w:hAnsi="Times New Roman" w:cs="Times New Roman"/>
          <w:sz w:val="20"/>
          <w:szCs w:val="20"/>
          <w:lang w:val="en-US"/>
        </w:rPr>
        <w:t xml:space="preserve">contaminated </w:t>
      </w:r>
      <w:r w:rsidR="00B0255B" w:rsidRPr="00AB546F">
        <w:rPr>
          <w:rFonts w:ascii="Times New Roman" w:hAnsi="Times New Roman" w:cs="Times New Roman"/>
          <w:sz w:val="20"/>
          <w:szCs w:val="20"/>
          <w:lang w:val="en-US"/>
        </w:rPr>
        <w:t>individuals</w:t>
      </w:r>
      <w:r w:rsidR="00892C66" w:rsidRPr="00AB546F">
        <w:rPr>
          <w:rFonts w:ascii="Times New Roman" w:hAnsi="Times New Roman" w:cs="Times New Roman"/>
          <w:sz w:val="20"/>
          <w:szCs w:val="20"/>
          <w:lang w:val="en-US"/>
        </w:rPr>
        <w:t xml:space="preserve"> </w:t>
      </w:r>
      <w:proofErr w:type="gramStart"/>
      <w:r w:rsidR="00892C66" w:rsidRPr="00AB546F">
        <w:rPr>
          <w:rFonts w:ascii="Times New Roman" w:hAnsi="Times New Roman" w:cs="Times New Roman"/>
          <w:sz w:val="20"/>
          <w:szCs w:val="20"/>
          <w:lang w:val="en-US"/>
        </w:rPr>
        <w:t>c</w:t>
      </w:r>
      <w:r w:rsidR="00E1465B" w:rsidRPr="00AB546F">
        <w:rPr>
          <w:rFonts w:ascii="Times New Roman" w:hAnsi="Times New Roman" w:cs="Times New Roman"/>
          <w:sz w:val="20"/>
          <w:szCs w:val="20"/>
          <w:lang w:val="en-US"/>
        </w:rPr>
        <w:t>o</w:t>
      </w:r>
      <w:r w:rsidR="00892C66" w:rsidRPr="00AB546F">
        <w:rPr>
          <w:rFonts w:ascii="Times New Roman" w:hAnsi="Times New Roman" w:cs="Times New Roman"/>
          <w:sz w:val="20"/>
          <w:szCs w:val="20"/>
          <w:lang w:val="en-US"/>
        </w:rPr>
        <w:t>me into conta</w:t>
      </w:r>
      <w:r w:rsidR="00F87E0B" w:rsidRPr="00AB546F">
        <w:rPr>
          <w:rFonts w:ascii="Times New Roman" w:hAnsi="Times New Roman" w:cs="Times New Roman"/>
          <w:sz w:val="20"/>
          <w:szCs w:val="20"/>
          <w:lang w:val="en-US"/>
        </w:rPr>
        <w:t xml:space="preserve">ct </w:t>
      </w:r>
      <w:r w:rsidR="00B95678" w:rsidRPr="00AB546F">
        <w:rPr>
          <w:rFonts w:ascii="Times New Roman" w:hAnsi="Times New Roman" w:cs="Times New Roman"/>
          <w:sz w:val="20"/>
          <w:szCs w:val="20"/>
          <w:lang w:val="en-US"/>
        </w:rPr>
        <w:t>with</w:t>
      </w:r>
      <w:proofErr w:type="gramEnd"/>
      <w:r w:rsidR="00B95678" w:rsidRPr="00AB546F">
        <w:rPr>
          <w:rFonts w:ascii="Times New Roman" w:hAnsi="Times New Roman" w:cs="Times New Roman"/>
          <w:sz w:val="20"/>
          <w:szCs w:val="20"/>
          <w:lang w:val="en-US"/>
        </w:rPr>
        <w:t xml:space="preserve"> other family members</w:t>
      </w:r>
      <w:r w:rsidR="00920E27" w:rsidRPr="00AB546F">
        <w:rPr>
          <w:rFonts w:ascii="Times New Roman" w:hAnsi="Times New Roman" w:cs="Times New Roman"/>
          <w:sz w:val="20"/>
          <w:szCs w:val="20"/>
          <w:lang w:val="en-US"/>
        </w:rPr>
        <w:t>,</w:t>
      </w:r>
      <w:r w:rsidR="00823B69" w:rsidRPr="00AB546F">
        <w:rPr>
          <w:rFonts w:ascii="Times New Roman" w:hAnsi="Times New Roman" w:cs="Times New Roman"/>
          <w:sz w:val="20"/>
          <w:szCs w:val="20"/>
          <w:lang w:val="en-US"/>
        </w:rPr>
        <w:t xml:space="preserve"> </w:t>
      </w:r>
      <w:r w:rsidR="0015356A" w:rsidRPr="00AB546F">
        <w:rPr>
          <w:rFonts w:ascii="Times New Roman" w:hAnsi="Times New Roman" w:cs="Times New Roman"/>
          <w:sz w:val="20"/>
          <w:szCs w:val="20"/>
          <w:lang w:val="en-US"/>
        </w:rPr>
        <w:t>and then</w:t>
      </w:r>
      <w:r w:rsidR="001C63DE" w:rsidRPr="00AB546F">
        <w:rPr>
          <w:rFonts w:ascii="Times New Roman" w:hAnsi="Times New Roman" w:cs="Times New Roman"/>
          <w:sz w:val="20"/>
          <w:szCs w:val="20"/>
          <w:lang w:val="en-US"/>
        </w:rPr>
        <w:t xml:space="preserve"> the </w:t>
      </w:r>
      <w:r w:rsidR="000C023D" w:rsidRPr="00AB546F">
        <w:rPr>
          <w:rFonts w:ascii="Times New Roman" w:hAnsi="Times New Roman" w:cs="Times New Roman"/>
          <w:sz w:val="20"/>
          <w:szCs w:val="20"/>
          <w:lang w:val="en-US"/>
        </w:rPr>
        <w:t>cross-</w:t>
      </w:r>
      <w:r w:rsidR="001C63DE" w:rsidRPr="00AB546F">
        <w:rPr>
          <w:rFonts w:ascii="Times New Roman" w:hAnsi="Times New Roman" w:cs="Times New Roman"/>
          <w:sz w:val="20"/>
          <w:szCs w:val="20"/>
          <w:lang w:val="en-US"/>
        </w:rPr>
        <w:t xml:space="preserve">transmission of the pathogen </w:t>
      </w:r>
      <w:r w:rsidRPr="00AB546F">
        <w:rPr>
          <w:rFonts w:ascii="Times New Roman" w:hAnsi="Times New Roman" w:cs="Times New Roman"/>
          <w:sz w:val="20"/>
          <w:szCs w:val="20"/>
          <w:lang w:val="en-US"/>
        </w:rPr>
        <w:t>c</w:t>
      </w:r>
      <w:r w:rsidR="004953D5" w:rsidRPr="00AB546F">
        <w:rPr>
          <w:rFonts w:ascii="Times New Roman" w:hAnsi="Times New Roman" w:cs="Times New Roman"/>
          <w:sz w:val="20"/>
          <w:szCs w:val="20"/>
          <w:lang w:val="en-US"/>
        </w:rPr>
        <w:t>ould</w:t>
      </w:r>
      <w:r w:rsidRPr="00AB546F">
        <w:rPr>
          <w:rFonts w:ascii="Times New Roman" w:hAnsi="Times New Roman" w:cs="Times New Roman"/>
          <w:sz w:val="20"/>
          <w:szCs w:val="20"/>
          <w:lang w:val="en-US"/>
        </w:rPr>
        <w:t xml:space="preserve"> occur</w:t>
      </w:r>
      <w:r w:rsidR="001C63DE" w:rsidRPr="00AB546F">
        <w:rPr>
          <w:rFonts w:ascii="Times New Roman" w:hAnsi="Times New Roman" w:cs="Times New Roman"/>
          <w:sz w:val="20"/>
          <w:szCs w:val="20"/>
          <w:lang w:val="en-US"/>
        </w:rPr>
        <w:t>.</w:t>
      </w:r>
      <w:r w:rsidRPr="00AB546F">
        <w:rPr>
          <w:rFonts w:ascii="Times New Roman" w:hAnsi="Times New Roman" w:cs="Times New Roman"/>
          <w:sz w:val="20"/>
          <w:szCs w:val="20"/>
          <w:lang w:val="en-US"/>
        </w:rPr>
        <w:t xml:space="preserve"> </w:t>
      </w:r>
    </w:p>
    <w:p w:rsidR="0015356A" w:rsidRPr="00AB546F" w:rsidRDefault="0015356A"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Th</w:t>
      </w:r>
      <w:r w:rsidR="00C02507" w:rsidRPr="00AB546F">
        <w:rPr>
          <w:rFonts w:ascii="Times New Roman" w:hAnsi="Times New Roman" w:cs="Times New Roman"/>
          <w:sz w:val="20"/>
          <w:szCs w:val="20"/>
          <w:lang w:val="en-US"/>
        </w:rPr>
        <w:t>e</w:t>
      </w:r>
      <w:r w:rsidRPr="00AB546F">
        <w:rPr>
          <w:rFonts w:ascii="Times New Roman" w:hAnsi="Times New Roman" w:cs="Times New Roman"/>
          <w:sz w:val="20"/>
          <w:szCs w:val="20"/>
          <w:lang w:val="en-US"/>
        </w:rPr>
        <w:t xml:space="preserve"> probability</w:t>
      </w:r>
      <w:r w:rsidR="00C02507" w:rsidRPr="00AB546F">
        <w:rPr>
          <w:rFonts w:ascii="Times New Roman" w:hAnsi="Times New Roman" w:cs="Times New Roman"/>
          <w:sz w:val="20"/>
          <w:szCs w:val="20"/>
          <w:lang w:val="en-US"/>
        </w:rPr>
        <w:t xml:space="preserve"> of cross-transmission depends on the number of daily contacts with </w:t>
      </w:r>
      <w:proofErr w:type="gramStart"/>
      <w:r w:rsidR="00C02507" w:rsidRPr="00AB546F">
        <w:rPr>
          <w:rFonts w:ascii="Times New Roman" w:hAnsi="Times New Roman" w:cs="Times New Roman"/>
          <w:sz w:val="20"/>
          <w:szCs w:val="20"/>
          <w:lang w:val="en-US"/>
        </w:rPr>
        <w:t>a family members</w:t>
      </w:r>
      <w:proofErr w:type="gramEnd"/>
      <w:r w:rsidR="00C02507" w:rsidRPr="00AB546F">
        <w:rPr>
          <w:rFonts w:ascii="Times New Roman" w:hAnsi="Times New Roman" w:cs="Times New Roman"/>
          <w:sz w:val="20"/>
          <w:szCs w:val="20"/>
          <w:lang w:val="en-US"/>
        </w:rPr>
        <w:t xml:space="preserve"> (</w:t>
      </w:r>
      <w:r w:rsidR="00F72F10" w:rsidRPr="00AB546F">
        <w:rPr>
          <w:rFonts w:ascii="Times New Roman" w:hAnsi="Times New Roman" w:cs="Times New Roman"/>
          <w:i/>
          <w:sz w:val="20"/>
          <w:szCs w:val="20"/>
          <w:lang w:val="en-US"/>
        </w:rPr>
        <w:t>c</w:t>
      </w:r>
      <w:r w:rsidR="00533537" w:rsidRPr="00AB546F">
        <w:rPr>
          <w:rFonts w:ascii="Times New Roman" w:hAnsi="Times New Roman" w:cs="Times New Roman"/>
          <w:sz w:val="20"/>
          <w:szCs w:val="20"/>
          <w:lang w:val="en-US"/>
        </w:rPr>
        <w:t>) and the probability of pathogen transmission during contact (</w:t>
      </w:r>
      <w:proofErr w:type="spellStart"/>
      <w:r w:rsidR="00533537" w:rsidRPr="00AB546F">
        <w:rPr>
          <w:rFonts w:ascii="Times New Roman" w:hAnsi="Times New Roman" w:cs="Times New Roman"/>
          <w:i/>
          <w:sz w:val="20"/>
          <w:szCs w:val="20"/>
          <w:lang w:val="en-US"/>
        </w:rPr>
        <w:t>p</w:t>
      </w:r>
      <w:r w:rsidR="00930B8D" w:rsidRPr="00AB546F">
        <w:rPr>
          <w:rFonts w:ascii="Times New Roman" w:hAnsi="Times New Roman" w:cs="Times New Roman"/>
          <w:i/>
          <w:sz w:val="20"/>
          <w:szCs w:val="20"/>
          <w:vertAlign w:val="subscript"/>
          <w:lang w:val="en-US"/>
        </w:rPr>
        <w:t>tr</w:t>
      </w:r>
      <w:proofErr w:type="spellEnd"/>
      <w:r w:rsidR="00533537" w:rsidRPr="00AB546F">
        <w:rPr>
          <w:rFonts w:ascii="Times New Roman" w:hAnsi="Times New Roman" w:cs="Times New Roman"/>
          <w:sz w:val="20"/>
          <w:szCs w:val="20"/>
          <w:lang w:val="en-US"/>
        </w:rPr>
        <w:t>).</w:t>
      </w:r>
    </w:p>
    <w:p w:rsidR="00533537" w:rsidRPr="00AB546F" w:rsidRDefault="00533537" w:rsidP="00AB546F">
      <w:pPr>
        <w:spacing w:line="240" w:lineRule="auto"/>
        <w:jc w:val="both"/>
        <w:rPr>
          <w:rFonts w:ascii="Times New Roman" w:hAnsi="Times New Roman" w:cs="Times New Roman"/>
          <w:i/>
          <w:sz w:val="20"/>
          <w:szCs w:val="20"/>
          <w:lang w:val="en-US"/>
        </w:rPr>
      </w:pPr>
      <w:proofErr w:type="spellStart"/>
      <w:r w:rsidRPr="00AB546F">
        <w:rPr>
          <w:rFonts w:ascii="Times New Roman" w:hAnsi="Times New Roman" w:cs="Times New Roman"/>
          <w:i/>
          <w:sz w:val="20"/>
          <w:szCs w:val="20"/>
          <w:lang w:val="en-US"/>
        </w:rPr>
        <w:t>P</w:t>
      </w:r>
      <w:r w:rsidR="00930B8D" w:rsidRPr="00AB546F">
        <w:rPr>
          <w:rFonts w:ascii="Times New Roman" w:hAnsi="Times New Roman" w:cs="Times New Roman"/>
          <w:i/>
          <w:sz w:val="20"/>
          <w:szCs w:val="20"/>
          <w:vertAlign w:val="subscript"/>
          <w:lang w:val="en-US"/>
        </w:rPr>
        <w:t>tr</w:t>
      </w:r>
      <w:proofErr w:type="spellEnd"/>
      <w:r w:rsidRPr="00AB546F">
        <w:rPr>
          <w:rFonts w:ascii="Times New Roman" w:hAnsi="Times New Roman" w:cs="Times New Roman"/>
          <w:i/>
          <w:sz w:val="20"/>
          <w:szCs w:val="20"/>
          <w:lang w:val="en-US"/>
        </w:rPr>
        <w:t xml:space="preserve">= </w:t>
      </w:r>
      <w:r w:rsidRPr="00AB546F">
        <w:rPr>
          <w:rFonts w:ascii="Times New Roman" w:hAnsi="Times New Roman" w:cs="Times New Roman"/>
          <w:sz w:val="20"/>
          <w:szCs w:val="20"/>
          <w:lang w:val="en-US"/>
        </w:rPr>
        <w:t>[</w:t>
      </w:r>
      <w:proofErr w:type="gramStart"/>
      <w:r w:rsidRPr="00AB546F">
        <w:rPr>
          <w:rFonts w:ascii="Times New Roman" w:hAnsi="Times New Roman" w:cs="Times New Roman"/>
          <w:sz w:val="20"/>
          <w:szCs w:val="20"/>
          <w:lang w:val="en-US"/>
        </w:rPr>
        <w:t>1</w:t>
      </w:r>
      <w:proofErr w:type="gramEnd"/>
      <w:r w:rsidRPr="00AB546F">
        <w:rPr>
          <w:rFonts w:ascii="Times New Roman" w:hAnsi="Times New Roman" w:cs="Times New Roman"/>
          <w:sz w:val="20"/>
          <w:szCs w:val="20"/>
          <w:lang w:val="en-US"/>
        </w:rPr>
        <w:t xml:space="preserve"> – (1- </w:t>
      </w:r>
      <w:proofErr w:type="spellStart"/>
      <w:r w:rsidRPr="00AB546F">
        <w:rPr>
          <w:rFonts w:ascii="Times New Roman" w:hAnsi="Times New Roman" w:cs="Times New Roman"/>
          <w:i/>
          <w:sz w:val="20"/>
          <w:szCs w:val="20"/>
          <w:lang w:val="en-US"/>
        </w:rPr>
        <w:t>p</w:t>
      </w:r>
      <w:r w:rsidR="00930B8D" w:rsidRPr="00AB546F">
        <w:rPr>
          <w:rFonts w:ascii="Times New Roman" w:hAnsi="Times New Roman" w:cs="Times New Roman"/>
          <w:i/>
          <w:sz w:val="20"/>
          <w:szCs w:val="20"/>
          <w:vertAlign w:val="subscript"/>
          <w:lang w:val="en-US"/>
        </w:rPr>
        <w:t>tr</w:t>
      </w:r>
      <w:proofErr w:type="spellEnd"/>
      <w:r w:rsidRPr="00AB546F">
        <w:rPr>
          <w:rFonts w:ascii="Times New Roman" w:hAnsi="Times New Roman" w:cs="Times New Roman"/>
          <w:sz w:val="20"/>
          <w:szCs w:val="20"/>
          <w:lang w:val="en-US"/>
        </w:rPr>
        <w:t>)</w:t>
      </w:r>
      <w:r w:rsidRPr="00AB546F">
        <w:rPr>
          <w:rFonts w:ascii="Times New Roman" w:hAnsi="Times New Roman" w:cs="Times New Roman"/>
          <w:sz w:val="20"/>
          <w:szCs w:val="20"/>
          <w:vertAlign w:val="superscript"/>
          <w:lang w:val="en-US"/>
        </w:rPr>
        <w:t xml:space="preserve"> </w:t>
      </w:r>
      <w:r w:rsidR="00F72F10" w:rsidRPr="00AB546F">
        <w:rPr>
          <w:rFonts w:ascii="Times New Roman" w:hAnsi="Times New Roman" w:cs="Times New Roman"/>
          <w:i/>
          <w:sz w:val="20"/>
          <w:szCs w:val="20"/>
          <w:vertAlign w:val="superscript"/>
          <w:lang w:val="en-US"/>
        </w:rPr>
        <w:t>c</w:t>
      </w:r>
      <w:r w:rsidR="007E4CA0" w:rsidRPr="00AB546F">
        <w:rPr>
          <w:rFonts w:ascii="Times New Roman" w:hAnsi="Times New Roman" w:cs="Times New Roman"/>
          <w:sz w:val="20"/>
          <w:szCs w:val="20"/>
          <w:lang w:val="en-US"/>
        </w:rPr>
        <w:t>].</w:t>
      </w:r>
    </w:p>
    <w:p w:rsidR="00C04287" w:rsidRPr="00AB546F" w:rsidRDefault="00C97C7C"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 xml:space="preserve">Once a person </w:t>
      </w:r>
      <w:r w:rsidR="0074559C" w:rsidRPr="00AB546F">
        <w:rPr>
          <w:rFonts w:ascii="Times New Roman" w:hAnsi="Times New Roman" w:cs="Times New Roman"/>
          <w:sz w:val="20"/>
          <w:szCs w:val="20"/>
          <w:lang w:val="en-US"/>
        </w:rPr>
        <w:t>i</w:t>
      </w:r>
      <w:r w:rsidR="00BB4C62" w:rsidRPr="00AB546F">
        <w:rPr>
          <w:rFonts w:ascii="Times New Roman" w:hAnsi="Times New Roman" w:cs="Times New Roman"/>
          <w:sz w:val="20"/>
          <w:szCs w:val="20"/>
          <w:lang w:val="en-US"/>
        </w:rPr>
        <w:t>s</w:t>
      </w:r>
      <w:r w:rsidRPr="00AB546F">
        <w:rPr>
          <w:rFonts w:ascii="Times New Roman" w:hAnsi="Times New Roman" w:cs="Times New Roman"/>
          <w:sz w:val="20"/>
          <w:szCs w:val="20"/>
          <w:lang w:val="en-US"/>
        </w:rPr>
        <w:t xml:space="preserve"> contaminated, he </w:t>
      </w:r>
      <w:r w:rsidR="0074559C" w:rsidRPr="00AB546F">
        <w:rPr>
          <w:rFonts w:ascii="Times New Roman" w:hAnsi="Times New Roman" w:cs="Times New Roman"/>
          <w:sz w:val="20"/>
          <w:szCs w:val="20"/>
          <w:lang w:val="en-US"/>
        </w:rPr>
        <w:t>may</w:t>
      </w:r>
      <w:r w:rsidRPr="00AB546F">
        <w:rPr>
          <w:rFonts w:ascii="Times New Roman" w:hAnsi="Times New Roman" w:cs="Times New Roman"/>
          <w:sz w:val="20"/>
          <w:szCs w:val="20"/>
          <w:lang w:val="en-US"/>
        </w:rPr>
        <w:t xml:space="preserve"> become colonized (or colonize a baby by feeding)</w:t>
      </w:r>
      <w:r w:rsidR="00E311E9" w:rsidRPr="00AB546F">
        <w:rPr>
          <w:rFonts w:ascii="Times New Roman" w:hAnsi="Times New Roman" w:cs="Times New Roman"/>
          <w:sz w:val="20"/>
          <w:szCs w:val="20"/>
          <w:lang w:val="en-US"/>
        </w:rPr>
        <w:t xml:space="preserve"> with a probability that depend</w:t>
      </w:r>
      <w:r w:rsidR="00167C1A" w:rsidRPr="00AB546F">
        <w:rPr>
          <w:rFonts w:ascii="Times New Roman" w:hAnsi="Times New Roman" w:cs="Times New Roman"/>
          <w:sz w:val="20"/>
          <w:szCs w:val="20"/>
          <w:lang w:val="en-US"/>
        </w:rPr>
        <w:t>s</w:t>
      </w:r>
      <w:r w:rsidR="00E311E9" w:rsidRPr="00AB546F">
        <w:rPr>
          <w:rFonts w:ascii="Times New Roman" w:hAnsi="Times New Roman" w:cs="Times New Roman"/>
          <w:sz w:val="20"/>
          <w:szCs w:val="20"/>
          <w:lang w:val="en-US"/>
        </w:rPr>
        <w:t xml:space="preserve"> on the </w:t>
      </w:r>
      <w:r w:rsidR="00C04287" w:rsidRPr="00AB546F">
        <w:rPr>
          <w:rFonts w:ascii="Times New Roman" w:hAnsi="Times New Roman" w:cs="Times New Roman"/>
          <w:sz w:val="20"/>
          <w:szCs w:val="20"/>
          <w:lang w:val="en-US"/>
        </w:rPr>
        <w:t>daily frequency</w:t>
      </w:r>
      <w:r w:rsidR="00E311E9" w:rsidRPr="00AB546F">
        <w:rPr>
          <w:rFonts w:ascii="Times New Roman" w:hAnsi="Times New Roman" w:cs="Times New Roman"/>
          <w:sz w:val="20"/>
          <w:szCs w:val="20"/>
          <w:lang w:val="en-US"/>
        </w:rPr>
        <w:t xml:space="preserve"> of </w:t>
      </w:r>
      <w:r w:rsidR="0074559C" w:rsidRPr="00AB546F">
        <w:rPr>
          <w:rFonts w:ascii="Times New Roman" w:hAnsi="Times New Roman" w:cs="Times New Roman"/>
          <w:sz w:val="20"/>
          <w:szCs w:val="20"/>
          <w:lang w:val="en-US"/>
        </w:rPr>
        <w:t>feeding a baby/eating</w:t>
      </w:r>
      <w:r w:rsidR="00380089" w:rsidRPr="00AB546F">
        <w:rPr>
          <w:rFonts w:ascii="Times New Roman" w:hAnsi="Times New Roman" w:cs="Times New Roman"/>
          <w:sz w:val="20"/>
          <w:szCs w:val="20"/>
          <w:lang w:val="en-US"/>
        </w:rPr>
        <w:t xml:space="preserve"> (</w:t>
      </w:r>
      <w:proofErr w:type="spellStart"/>
      <w:r w:rsidR="00F72F10" w:rsidRPr="00AB546F">
        <w:rPr>
          <w:rFonts w:ascii="Times New Roman" w:hAnsi="Times New Roman" w:cs="Times New Roman"/>
          <w:sz w:val="20"/>
          <w:szCs w:val="20"/>
          <w:lang w:val="en-US"/>
        </w:rPr>
        <w:t>c</w:t>
      </w:r>
      <w:r w:rsidR="00380089" w:rsidRPr="00AB546F">
        <w:rPr>
          <w:rFonts w:ascii="Times New Roman" w:hAnsi="Times New Roman" w:cs="Times New Roman"/>
          <w:i/>
          <w:sz w:val="20"/>
          <w:szCs w:val="20"/>
          <w:vertAlign w:val="subscript"/>
          <w:lang w:val="en-US"/>
        </w:rPr>
        <w:t>col</w:t>
      </w:r>
      <w:proofErr w:type="spellEnd"/>
      <w:r w:rsidR="00380089" w:rsidRPr="00AB546F">
        <w:rPr>
          <w:rFonts w:ascii="Times New Roman" w:hAnsi="Times New Roman" w:cs="Times New Roman"/>
          <w:sz w:val="20"/>
          <w:szCs w:val="20"/>
          <w:lang w:val="en-US"/>
        </w:rPr>
        <w:t>)</w:t>
      </w:r>
      <w:r w:rsidR="00C04287" w:rsidRPr="00AB546F">
        <w:rPr>
          <w:rFonts w:ascii="Times New Roman" w:hAnsi="Times New Roman" w:cs="Times New Roman"/>
          <w:sz w:val="20"/>
          <w:szCs w:val="20"/>
          <w:lang w:val="en-US"/>
        </w:rPr>
        <w:t xml:space="preserve">, probability of hand hygiene before </w:t>
      </w:r>
      <w:r w:rsidR="00A70BE4" w:rsidRPr="00AB546F">
        <w:rPr>
          <w:rFonts w:ascii="Times New Roman" w:hAnsi="Times New Roman" w:cs="Times New Roman"/>
          <w:sz w:val="20"/>
          <w:szCs w:val="20"/>
          <w:lang w:val="en-US"/>
        </w:rPr>
        <w:t>feeding/eating</w:t>
      </w:r>
      <w:r w:rsidR="00C04287" w:rsidRPr="00AB546F">
        <w:rPr>
          <w:rFonts w:ascii="Times New Roman" w:hAnsi="Times New Roman" w:cs="Times New Roman"/>
          <w:sz w:val="20"/>
          <w:szCs w:val="20"/>
          <w:lang w:val="en-US"/>
        </w:rPr>
        <w:t xml:space="preserve"> </w:t>
      </w:r>
      <w:r w:rsidR="00380089" w:rsidRPr="00AB546F">
        <w:rPr>
          <w:rFonts w:ascii="Times New Roman" w:hAnsi="Times New Roman" w:cs="Times New Roman"/>
          <w:sz w:val="20"/>
          <w:szCs w:val="20"/>
          <w:lang w:val="en-US"/>
        </w:rPr>
        <w:t>(</w:t>
      </w:r>
      <w:proofErr w:type="spellStart"/>
      <w:r w:rsidR="00380089" w:rsidRPr="00AB546F">
        <w:rPr>
          <w:rFonts w:ascii="Times New Roman" w:hAnsi="Times New Roman" w:cs="Times New Roman"/>
          <w:sz w:val="20"/>
          <w:szCs w:val="20"/>
          <w:lang w:val="en-US"/>
        </w:rPr>
        <w:t>hh</w:t>
      </w:r>
      <w:r w:rsidR="00380089" w:rsidRPr="00AB546F">
        <w:rPr>
          <w:rFonts w:ascii="Times New Roman" w:hAnsi="Times New Roman" w:cs="Times New Roman"/>
          <w:i/>
          <w:sz w:val="20"/>
          <w:szCs w:val="20"/>
          <w:vertAlign w:val="subscript"/>
          <w:lang w:val="en-US"/>
        </w:rPr>
        <w:t>col</w:t>
      </w:r>
      <w:proofErr w:type="spellEnd"/>
      <w:r w:rsidR="00380089" w:rsidRPr="00AB546F">
        <w:rPr>
          <w:rFonts w:ascii="Times New Roman" w:hAnsi="Times New Roman" w:cs="Times New Roman"/>
          <w:sz w:val="20"/>
          <w:szCs w:val="20"/>
          <w:lang w:val="en-US"/>
        </w:rPr>
        <w:t>) and the</w:t>
      </w:r>
      <w:r w:rsidR="00E311E9" w:rsidRPr="00AB546F">
        <w:rPr>
          <w:rFonts w:ascii="Times New Roman" w:hAnsi="Times New Roman" w:cs="Times New Roman"/>
          <w:sz w:val="20"/>
          <w:szCs w:val="20"/>
          <w:lang w:val="en-US"/>
        </w:rPr>
        <w:t xml:space="preserve"> probability of gut colonization</w:t>
      </w:r>
      <w:r w:rsidR="00380089" w:rsidRPr="00AB546F">
        <w:rPr>
          <w:rFonts w:ascii="Times New Roman" w:hAnsi="Times New Roman" w:cs="Times New Roman"/>
          <w:sz w:val="20"/>
          <w:szCs w:val="20"/>
          <w:lang w:val="en-US"/>
        </w:rPr>
        <w:t xml:space="preserve"> (</w:t>
      </w:r>
      <w:proofErr w:type="spellStart"/>
      <w:r w:rsidR="00380089" w:rsidRPr="00AB546F">
        <w:rPr>
          <w:rFonts w:ascii="Times New Roman" w:hAnsi="Times New Roman" w:cs="Times New Roman"/>
          <w:sz w:val="20"/>
          <w:szCs w:val="20"/>
          <w:lang w:val="en-US"/>
        </w:rPr>
        <w:t>p</w:t>
      </w:r>
      <w:r w:rsidR="00380089" w:rsidRPr="00AB546F">
        <w:rPr>
          <w:rFonts w:ascii="Times New Roman" w:hAnsi="Times New Roman" w:cs="Times New Roman"/>
          <w:i/>
          <w:sz w:val="20"/>
          <w:szCs w:val="20"/>
          <w:vertAlign w:val="subscript"/>
          <w:lang w:val="en-US"/>
        </w:rPr>
        <w:t>col</w:t>
      </w:r>
      <w:proofErr w:type="spellEnd"/>
      <w:r w:rsidR="00380089" w:rsidRPr="00AB546F">
        <w:rPr>
          <w:rFonts w:ascii="Times New Roman" w:hAnsi="Times New Roman" w:cs="Times New Roman"/>
          <w:sz w:val="20"/>
          <w:szCs w:val="20"/>
          <w:lang w:val="en-US"/>
        </w:rPr>
        <w:t>)</w:t>
      </w:r>
      <w:r w:rsidR="00E311E9" w:rsidRPr="00AB546F">
        <w:rPr>
          <w:rFonts w:ascii="Times New Roman" w:hAnsi="Times New Roman" w:cs="Times New Roman"/>
          <w:sz w:val="20"/>
          <w:szCs w:val="20"/>
          <w:lang w:val="en-US"/>
        </w:rPr>
        <w:t xml:space="preserve">. </w:t>
      </w:r>
    </w:p>
    <w:p w:rsidR="00380089" w:rsidRPr="00AB546F" w:rsidRDefault="00380089" w:rsidP="00AB546F">
      <w:pPr>
        <w:spacing w:line="240" w:lineRule="auto"/>
        <w:jc w:val="both"/>
        <w:rPr>
          <w:rFonts w:ascii="Times New Roman" w:hAnsi="Times New Roman" w:cs="Times New Roman"/>
          <w:i/>
          <w:sz w:val="20"/>
          <w:szCs w:val="20"/>
          <w:lang w:val="en-US"/>
        </w:rPr>
      </w:pPr>
      <w:proofErr w:type="spellStart"/>
      <w:r w:rsidRPr="00AB546F">
        <w:rPr>
          <w:rFonts w:ascii="Times New Roman" w:hAnsi="Times New Roman" w:cs="Times New Roman"/>
          <w:i/>
          <w:sz w:val="20"/>
          <w:szCs w:val="20"/>
          <w:lang w:val="en-US"/>
        </w:rPr>
        <w:t>P</w:t>
      </w:r>
      <w:r w:rsidR="00A7261A" w:rsidRPr="00AB546F">
        <w:rPr>
          <w:rFonts w:ascii="Times New Roman" w:hAnsi="Times New Roman" w:cs="Times New Roman"/>
          <w:i/>
          <w:sz w:val="20"/>
          <w:szCs w:val="20"/>
          <w:vertAlign w:val="subscript"/>
          <w:lang w:val="en-US"/>
        </w:rPr>
        <w:t>col</w:t>
      </w:r>
      <w:proofErr w:type="spellEnd"/>
      <w:proofErr w:type="gramStart"/>
      <w:r w:rsidR="002856C9" w:rsidRPr="00AB546F">
        <w:rPr>
          <w:rFonts w:ascii="Times New Roman" w:hAnsi="Times New Roman" w:cs="Times New Roman"/>
          <w:i/>
          <w:sz w:val="20"/>
          <w:szCs w:val="20"/>
          <w:lang w:val="en-US"/>
        </w:rPr>
        <w:t>=</w:t>
      </w:r>
      <w:r w:rsidR="006007F3" w:rsidRPr="00AB546F">
        <w:rPr>
          <w:rFonts w:ascii="Times New Roman" w:hAnsi="Times New Roman" w:cs="Times New Roman"/>
          <w:sz w:val="20"/>
          <w:szCs w:val="20"/>
          <w:lang w:val="en-US"/>
        </w:rPr>
        <w:t>[</w:t>
      </w:r>
      <w:proofErr w:type="gramEnd"/>
      <w:r w:rsidR="006007F3" w:rsidRPr="00AB546F">
        <w:rPr>
          <w:rFonts w:ascii="Times New Roman" w:hAnsi="Times New Roman" w:cs="Times New Roman"/>
          <w:sz w:val="20"/>
          <w:szCs w:val="20"/>
          <w:lang w:val="en-US"/>
        </w:rPr>
        <w:t xml:space="preserve">1 – (1- </w:t>
      </w:r>
      <w:proofErr w:type="spellStart"/>
      <w:r w:rsidR="006007F3" w:rsidRPr="00AB546F">
        <w:rPr>
          <w:rFonts w:ascii="Times New Roman" w:hAnsi="Times New Roman" w:cs="Times New Roman"/>
          <w:i/>
          <w:sz w:val="20"/>
          <w:szCs w:val="20"/>
          <w:lang w:val="en-US"/>
        </w:rPr>
        <w:t>p</w:t>
      </w:r>
      <w:r w:rsidR="006007F3" w:rsidRPr="00AB546F">
        <w:rPr>
          <w:rFonts w:ascii="Times New Roman" w:hAnsi="Times New Roman" w:cs="Times New Roman"/>
          <w:i/>
          <w:sz w:val="20"/>
          <w:szCs w:val="20"/>
          <w:vertAlign w:val="subscript"/>
          <w:lang w:val="en-US"/>
        </w:rPr>
        <w:t>col</w:t>
      </w:r>
      <w:proofErr w:type="spellEnd"/>
      <w:r w:rsidR="006007F3" w:rsidRPr="00AB546F">
        <w:rPr>
          <w:rFonts w:ascii="Times New Roman" w:hAnsi="Times New Roman" w:cs="Times New Roman"/>
          <w:sz w:val="20"/>
          <w:szCs w:val="20"/>
          <w:lang w:val="en-US"/>
        </w:rPr>
        <w:t>)</w:t>
      </w:r>
      <w:r w:rsidR="006007F3" w:rsidRPr="00AB546F">
        <w:rPr>
          <w:rFonts w:ascii="Times New Roman" w:hAnsi="Times New Roman" w:cs="Times New Roman"/>
          <w:sz w:val="20"/>
          <w:szCs w:val="20"/>
          <w:vertAlign w:val="superscript"/>
          <w:lang w:val="en-US"/>
        </w:rPr>
        <w:t xml:space="preserve"> </w:t>
      </w:r>
      <w:proofErr w:type="spellStart"/>
      <w:r w:rsidR="00F72F10" w:rsidRPr="00AB546F">
        <w:rPr>
          <w:rFonts w:ascii="Times New Roman" w:hAnsi="Times New Roman" w:cs="Times New Roman"/>
          <w:i/>
          <w:sz w:val="20"/>
          <w:szCs w:val="20"/>
          <w:vertAlign w:val="superscript"/>
          <w:lang w:val="en-US"/>
        </w:rPr>
        <w:t>c</w:t>
      </w:r>
      <w:r w:rsidR="006007F3" w:rsidRPr="00AB546F">
        <w:rPr>
          <w:rFonts w:ascii="Times New Roman" w:hAnsi="Times New Roman" w:cs="Times New Roman"/>
          <w:i/>
          <w:sz w:val="20"/>
          <w:szCs w:val="20"/>
          <w:vertAlign w:val="superscript"/>
          <w:lang w:val="en-US"/>
        </w:rPr>
        <w:t>col</w:t>
      </w:r>
      <w:proofErr w:type="spellEnd"/>
      <w:r w:rsidR="006007F3" w:rsidRPr="00AB546F">
        <w:rPr>
          <w:rFonts w:ascii="Times New Roman" w:hAnsi="Times New Roman" w:cs="Times New Roman"/>
          <w:sz w:val="20"/>
          <w:szCs w:val="20"/>
          <w:lang w:val="en-US"/>
        </w:rPr>
        <w:t xml:space="preserve">  ]* (1-</w:t>
      </w:r>
      <w:r w:rsidR="006007F3" w:rsidRPr="00AB546F">
        <w:rPr>
          <w:rFonts w:ascii="Times New Roman" w:hAnsi="Times New Roman" w:cs="Times New Roman"/>
          <w:i/>
          <w:sz w:val="20"/>
          <w:szCs w:val="20"/>
          <w:lang w:val="en-US"/>
        </w:rPr>
        <w:t>hh</w:t>
      </w:r>
      <w:r w:rsidR="006007F3" w:rsidRPr="00AB546F">
        <w:rPr>
          <w:rFonts w:ascii="Times New Roman" w:hAnsi="Times New Roman" w:cs="Times New Roman"/>
          <w:i/>
          <w:sz w:val="20"/>
          <w:szCs w:val="20"/>
          <w:vertAlign w:val="subscript"/>
          <w:lang w:val="en-US"/>
        </w:rPr>
        <w:t>col</w:t>
      </w:r>
      <w:r w:rsidR="006007F3" w:rsidRPr="00AB546F">
        <w:rPr>
          <w:rFonts w:ascii="Times New Roman" w:hAnsi="Times New Roman" w:cs="Times New Roman"/>
          <w:sz w:val="20"/>
          <w:szCs w:val="20"/>
          <w:lang w:val="en-US"/>
        </w:rPr>
        <w:t>)</w:t>
      </w:r>
    </w:p>
    <w:p w:rsidR="00113D5E" w:rsidRPr="00AB546F" w:rsidRDefault="00FF46C5"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 xml:space="preserve">Exposure to antibiotics may facilitate the transmission of ESBL-EC in two ways: 1) </w:t>
      </w:r>
      <w:r w:rsidR="00E206A3" w:rsidRPr="00AB546F">
        <w:rPr>
          <w:rFonts w:ascii="Times New Roman" w:hAnsi="Times New Roman" w:cs="Times New Roman"/>
          <w:sz w:val="20"/>
          <w:szCs w:val="20"/>
          <w:lang w:val="en-US"/>
        </w:rPr>
        <w:t>increase the probability of transmission from colonized person treated with antibiotics</w:t>
      </w:r>
      <w:r w:rsidR="00022E86" w:rsidRPr="00AB546F">
        <w:rPr>
          <w:rFonts w:ascii="Times New Roman" w:hAnsi="Times New Roman" w:cs="Times New Roman"/>
          <w:sz w:val="20"/>
          <w:szCs w:val="20"/>
          <w:lang w:val="en-US"/>
        </w:rPr>
        <w:t xml:space="preserve"> (by the relative risk of contamination </w:t>
      </w:r>
      <w:proofErr w:type="spellStart"/>
      <w:r w:rsidR="00022E86" w:rsidRPr="00AB546F">
        <w:rPr>
          <w:rFonts w:ascii="Times New Roman" w:hAnsi="Times New Roman" w:cs="Times New Roman"/>
          <w:i/>
          <w:sz w:val="20"/>
          <w:szCs w:val="20"/>
          <w:lang w:val="en-GB"/>
        </w:rPr>
        <w:t>rr</w:t>
      </w:r>
      <w:r w:rsidR="00022E86" w:rsidRPr="00AB546F">
        <w:rPr>
          <w:rFonts w:ascii="Times New Roman" w:hAnsi="Times New Roman" w:cs="Times New Roman"/>
          <w:i/>
          <w:sz w:val="20"/>
          <w:szCs w:val="20"/>
          <w:vertAlign w:val="subscript"/>
          <w:lang w:val="en-GB"/>
        </w:rPr>
        <w:t>cont</w:t>
      </w:r>
      <w:proofErr w:type="spellEnd"/>
      <w:proofErr w:type="gramStart"/>
      <w:r w:rsidR="00022E86" w:rsidRPr="00AB546F">
        <w:rPr>
          <w:rFonts w:ascii="Times New Roman" w:hAnsi="Times New Roman" w:cs="Times New Roman"/>
          <w:sz w:val="20"/>
          <w:szCs w:val="20"/>
          <w:lang w:val="en-US"/>
        </w:rPr>
        <w:t xml:space="preserve">) </w:t>
      </w:r>
      <w:r w:rsidR="00E206A3" w:rsidRPr="00AB546F">
        <w:rPr>
          <w:rFonts w:ascii="Times New Roman" w:hAnsi="Times New Roman" w:cs="Times New Roman"/>
          <w:sz w:val="20"/>
          <w:szCs w:val="20"/>
          <w:lang w:val="en-US"/>
        </w:rPr>
        <w:t xml:space="preserve"> </w:t>
      </w:r>
      <w:r w:rsidRPr="00AB546F">
        <w:rPr>
          <w:rFonts w:ascii="Times New Roman" w:hAnsi="Times New Roman" w:cs="Times New Roman"/>
          <w:sz w:val="20"/>
          <w:szCs w:val="20"/>
          <w:lang w:val="en-US"/>
        </w:rPr>
        <w:t>and</w:t>
      </w:r>
      <w:proofErr w:type="gramEnd"/>
      <w:r w:rsidRPr="00AB546F">
        <w:rPr>
          <w:rFonts w:ascii="Times New Roman" w:hAnsi="Times New Roman" w:cs="Times New Roman"/>
          <w:sz w:val="20"/>
          <w:szCs w:val="20"/>
          <w:lang w:val="en-US"/>
        </w:rPr>
        <w:t xml:space="preserve"> 2)</w:t>
      </w:r>
      <w:r w:rsidR="00E206A3" w:rsidRPr="00AB546F">
        <w:rPr>
          <w:rFonts w:ascii="Times New Roman" w:hAnsi="Times New Roman" w:cs="Times New Roman"/>
          <w:sz w:val="20"/>
          <w:szCs w:val="20"/>
          <w:lang w:val="en-US"/>
        </w:rPr>
        <w:t xml:space="preserve"> increase the probability of </w:t>
      </w:r>
      <w:proofErr w:type="spellStart"/>
      <w:r w:rsidR="00E206A3" w:rsidRPr="00AB546F">
        <w:rPr>
          <w:rFonts w:ascii="Times New Roman" w:hAnsi="Times New Roman" w:cs="Times New Roman"/>
          <w:sz w:val="20"/>
          <w:szCs w:val="20"/>
          <w:lang w:val="en-US"/>
        </w:rPr>
        <w:t>colonisation</w:t>
      </w:r>
      <w:proofErr w:type="spellEnd"/>
      <w:r w:rsidR="00E206A3" w:rsidRPr="00AB546F">
        <w:rPr>
          <w:rFonts w:ascii="Times New Roman" w:hAnsi="Times New Roman" w:cs="Times New Roman"/>
          <w:sz w:val="20"/>
          <w:szCs w:val="20"/>
          <w:lang w:val="en-US"/>
        </w:rPr>
        <w:t xml:space="preserve"> in contaminated persons receiving antibiotic</w:t>
      </w:r>
      <w:r w:rsidR="00022E86" w:rsidRPr="00AB546F">
        <w:rPr>
          <w:rFonts w:ascii="Times New Roman" w:hAnsi="Times New Roman" w:cs="Times New Roman"/>
          <w:sz w:val="20"/>
          <w:szCs w:val="20"/>
          <w:lang w:val="en-US"/>
        </w:rPr>
        <w:t xml:space="preserve"> (by the relative risk of colonization </w:t>
      </w:r>
      <w:proofErr w:type="spellStart"/>
      <w:r w:rsidR="00022E86" w:rsidRPr="00AB546F">
        <w:rPr>
          <w:rFonts w:ascii="Times New Roman" w:hAnsi="Times New Roman" w:cs="Times New Roman"/>
          <w:i/>
          <w:sz w:val="20"/>
          <w:szCs w:val="20"/>
          <w:lang w:val="en-GB"/>
        </w:rPr>
        <w:t>rr</w:t>
      </w:r>
      <w:r w:rsidR="00022E86" w:rsidRPr="00AB546F">
        <w:rPr>
          <w:rFonts w:ascii="Times New Roman" w:hAnsi="Times New Roman" w:cs="Times New Roman"/>
          <w:i/>
          <w:sz w:val="20"/>
          <w:szCs w:val="20"/>
          <w:vertAlign w:val="subscript"/>
          <w:lang w:val="en-GB"/>
        </w:rPr>
        <w:t>col</w:t>
      </w:r>
      <w:proofErr w:type="spellEnd"/>
      <w:r w:rsidR="00022E86" w:rsidRPr="00AB546F">
        <w:rPr>
          <w:rFonts w:ascii="Times New Roman" w:hAnsi="Times New Roman" w:cs="Times New Roman"/>
          <w:sz w:val="20"/>
          <w:szCs w:val="20"/>
          <w:lang w:val="en-US"/>
        </w:rPr>
        <w:t>)</w:t>
      </w:r>
      <w:r w:rsidR="00E206A3" w:rsidRPr="00AB546F">
        <w:rPr>
          <w:rFonts w:ascii="Times New Roman" w:hAnsi="Times New Roman" w:cs="Times New Roman"/>
          <w:sz w:val="20"/>
          <w:szCs w:val="20"/>
          <w:lang w:val="en-US"/>
        </w:rPr>
        <w:t>.</w:t>
      </w:r>
    </w:p>
    <w:p w:rsidR="002451FA" w:rsidRPr="00AB546F" w:rsidRDefault="00FA024A"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 xml:space="preserve">During the simulation, when an individual enters a new infectious state, the duration for which he will remain in this state </w:t>
      </w:r>
      <w:proofErr w:type="gramStart"/>
      <w:r w:rsidRPr="00AB546F">
        <w:rPr>
          <w:rFonts w:ascii="Times New Roman" w:hAnsi="Times New Roman" w:cs="Times New Roman"/>
          <w:sz w:val="20"/>
          <w:szCs w:val="20"/>
          <w:lang w:val="en-US"/>
        </w:rPr>
        <w:t>is drawn</w:t>
      </w:r>
      <w:proofErr w:type="gramEnd"/>
      <w:r w:rsidRPr="00AB546F">
        <w:rPr>
          <w:rFonts w:ascii="Times New Roman" w:hAnsi="Times New Roman" w:cs="Times New Roman"/>
          <w:sz w:val="20"/>
          <w:szCs w:val="20"/>
          <w:lang w:val="en-US"/>
        </w:rPr>
        <w:t xml:space="preserve"> from a Gamma distribution, with a mean value set by the user. </w:t>
      </w:r>
    </w:p>
    <w:p w:rsidR="007456F2" w:rsidRPr="00AB546F" w:rsidRDefault="007456F2" w:rsidP="007456F2">
      <w:pPr>
        <w:jc w:val="both"/>
        <w:rPr>
          <w:rFonts w:ascii="Times New Roman" w:hAnsi="Times New Roman" w:cs="Times New Roman"/>
          <w:b/>
          <w:sz w:val="20"/>
          <w:szCs w:val="20"/>
          <w:lang w:val="en-GB"/>
        </w:rPr>
      </w:pPr>
      <w:r w:rsidRPr="00AB546F">
        <w:rPr>
          <w:rFonts w:ascii="Times New Roman" w:hAnsi="Times New Roman" w:cs="Times New Roman"/>
          <w:b/>
          <w:sz w:val="20"/>
          <w:szCs w:val="20"/>
          <w:lang w:val="en-GB"/>
        </w:rPr>
        <w:t>Model calibration</w:t>
      </w:r>
    </w:p>
    <w:p w:rsidR="00FF0184" w:rsidRPr="00AB546F" w:rsidRDefault="00EE22B2" w:rsidP="00AB546F">
      <w:pPr>
        <w:spacing w:line="240" w:lineRule="auto"/>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t>For the unknown parameter, the daily probability of gut colonization in a contaminated person (</w:t>
      </w:r>
      <w:proofErr w:type="spellStart"/>
      <w:r w:rsidRPr="00AB546F">
        <w:rPr>
          <w:rFonts w:ascii="Times New Roman" w:hAnsi="Times New Roman" w:cs="Times New Roman"/>
          <w:i/>
          <w:sz w:val="20"/>
          <w:szCs w:val="20"/>
          <w:lang w:val="en-US"/>
        </w:rPr>
        <w:t>p</w:t>
      </w:r>
      <w:r w:rsidRPr="00AB546F">
        <w:rPr>
          <w:rFonts w:ascii="Times New Roman" w:hAnsi="Times New Roman" w:cs="Times New Roman"/>
          <w:i/>
          <w:sz w:val="20"/>
          <w:szCs w:val="20"/>
          <w:vertAlign w:val="subscript"/>
          <w:lang w:val="en-US"/>
        </w:rPr>
        <w:t>col</w:t>
      </w:r>
      <w:proofErr w:type="spellEnd"/>
      <w:r w:rsidRPr="00AB546F">
        <w:rPr>
          <w:rFonts w:ascii="Times New Roman" w:hAnsi="Times New Roman" w:cs="Times New Roman"/>
          <w:i/>
          <w:sz w:val="20"/>
          <w:szCs w:val="20"/>
          <w:lang w:val="en-US"/>
        </w:rPr>
        <w:t>)</w:t>
      </w:r>
      <w:r w:rsidRPr="00AB546F">
        <w:rPr>
          <w:rFonts w:ascii="Times New Roman" w:hAnsi="Times New Roman" w:cs="Times New Roman"/>
          <w:sz w:val="20"/>
          <w:szCs w:val="20"/>
          <w:lang w:val="en-US"/>
        </w:rPr>
        <w:t xml:space="preserve">, we tested a range of values from </w:t>
      </w:r>
      <w:proofErr w:type="gramStart"/>
      <w:r w:rsidR="004F259B" w:rsidRPr="00AB546F">
        <w:rPr>
          <w:rFonts w:ascii="Times New Roman" w:hAnsi="Times New Roman" w:cs="Times New Roman"/>
          <w:sz w:val="20"/>
          <w:szCs w:val="20"/>
          <w:lang w:val="en-US"/>
        </w:rPr>
        <w:t>0</w:t>
      </w:r>
      <w:proofErr w:type="gramEnd"/>
      <w:r w:rsidR="00E44375" w:rsidRPr="00AB546F">
        <w:rPr>
          <w:rFonts w:ascii="Times New Roman" w:hAnsi="Times New Roman" w:cs="Times New Roman"/>
          <w:sz w:val="20"/>
          <w:szCs w:val="20"/>
          <w:lang w:val="en-US"/>
        </w:rPr>
        <w:t xml:space="preserve"> to </w:t>
      </w:r>
      <w:r w:rsidR="004F259B" w:rsidRPr="00AB546F">
        <w:rPr>
          <w:rFonts w:ascii="Times New Roman" w:hAnsi="Times New Roman" w:cs="Times New Roman"/>
          <w:sz w:val="20"/>
          <w:szCs w:val="20"/>
          <w:lang w:val="en-US"/>
        </w:rPr>
        <w:t>1</w:t>
      </w:r>
      <w:r w:rsidRPr="00AB546F">
        <w:rPr>
          <w:rFonts w:ascii="Times New Roman" w:hAnsi="Times New Roman" w:cs="Times New Roman"/>
          <w:sz w:val="20"/>
          <w:szCs w:val="20"/>
          <w:lang w:val="en-US"/>
        </w:rPr>
        <w:t xml:space="preserve">.  For </w:t>
      </w:r>
      <w:r w:rsidR="004F259B" w:rsidRPr="00AB546F">
        <w:rPr>
          <w:rFonts w:ascii="Times New Roman" w:hAnsi="Times New Roman" w:cs="Times New Roman"/>
          <w:sz w:val="20"/>
          <w:szCs w:val="20"/>
          <w:lang w:val="en-US"/>
        </w:rPr>
        <w:t>e</w:t>
      </w:r>
      <w:r w:rsidRPr="00AB546F">
        <w:rPr>
          <w:rFonts w:ascii="Times New Roman" w:hAnsi="Times New Roman" w:cs="Times New Roman"/>
          <w:sz w:val="20"/>
          <w:szCs w:val="20"/>
          <w:lang w:val="en-US"/>
        </w:rPr>
        <w:t xml:space="preserve">ach combination of model parameters </w:t>
      </w:r>
      <w:r w:rsidR="004F259B" w:rsidRPr="00AB546F">
        <w:rPr>
          <w:rFonts w:ascii="Times New Roman" w:hAnsi="Times New Roman" w:cs="Times New Roman"/>
          <w:sz w:val="20"/>
          <w:szCs w:val="20"/>
          <w:lang w:val="en-US"/>
        </w:rPr>
        <w:t xml:space="preserve">with </w:t>
      </w:r>
      <w:proofErr w:type="spellStart"/>
      <w:r w:rsidR="004F259B" w:rsidRPr="00AB546F">
        <w:rPr>
          <w:rFonts w:ascii="Times New Roman" w:hAnsi="Times New Roman" w:cs="Times New Roman"/>
          <w:i/>
          <w:sz w:val="20"/>
          <w:szCs w:val="20"/>
          <w:lang w:val="en-US"/>
        </w:rPr>
        <w:t>p</w:t>
      </w:r>
      <w:r w:rsidR="004F259B" w:rsidRPr="00AB546F">
        <w:rPr>
          <w:rFonts w:ascii="Times New Roman" w:hAnsi="Times New Roman" w:cs="Times New Roman"/>
          <w:i/>
          <w:sz w:val="20"/>
          <w:szCs w:val="20"/>
          <w:vertAlign w:val="subscript"/>
          <w:lang w:val="en-US"/>
        </w:rPr>
        <w:t>col</w:t>
      </w:r>
      <w:proofErr w:type="spellEnd"/>
      <w:r w:rsidRPr="00AB546F">
        <w:rPr>
          <w:rFonts w:ascii="Times New Roman" w:hAnsi="Times New Roman" w:cs="Times New Roman"/>
          <w:sz w:val="20"/>
          <w:szCs w:val="20"/>
          <w:lang w:val="en-US"/>
        </w:rPr>
        <w:t xml:space="preserve">, we </w:t>
      </w:r>
      <w:r w:rsidR="004F259B" w:rsidRPr="00AB546F">
        <w:rPr>
          <w:rFonts w:ascii="Times New Roman" w:hAnsi="Times New Roman" w:cs="Times New Roman"/>
          <w:sz w:val="20"/>
          <w:szCs w:val="20"/>
          <w:lang w:val="en-US"/>
        </w:rPr>
        <w:t>ran</w:t>
      </w:r>
      <w:r w:rsidR="001827A9" w:rsidRPr="00AB546F">
        <w:rPr>
          <w:rFonts w:ascii="Times New Roman" w:hAnsi="Times New Roman" w:cs="Times New Roman"/>
          <w:sz w:val="20"/>
          <w:szCs w:val="20"/>
          <w:lang w:val="en-US"/>
        </w:rPr>
        <w:t xml:space="preserve"> 30 </w:t>
      </w:r>
      <w:r w:rsidRPr="00AB546F">
        <w:rPr>
          <w:rFonts w:ascii="Times New Roman" w:hAnsi="Times New Roman" w:cs="Times New Roman"/>
          <w:sz w:val="20"/>
          <w:szCs w:val="20"/>
          <w:lang w:val="en-US"/>
        </w:rPr>
        <w:t xml:space="preserve">000 </w:t>
      </w:r>
      <w:r w:rsidR="004F259B" w:rsidRPr="00AB546F">
        <w:rPr>
          <w:rFonts w:ascii="Times New Roman" w:hAnsi="Times New Roman" w:cs="Times New Roman"/>
          <w:sz w:val="20"/>
          <w:szCs w:val="20"/>
          <w:lang w:val="en-US"/>
        </w:rPr>
        <w:t>Monte Carlo simulations</w:t>
      </w:r>
      <w:r w:rsidRPr="00AB546F">
        <w:rPr>
          <w:rFonts w:ascii="Times New Roman" w:hAnsi="Times New Roman" w:cs="Times New Roman"/>
          <w:sz w:val="20"/>
          <w:szCs w:val="20"/>
          <w:lang w:val="en-US"/>
        </w:rPr>
        <w:t>. Then, u</w:t>
      </w:r>
      <w:r w:rsidR="007456F2" w:rsidRPr="00AB546F">
        <w:rPr>
          <w:rFonts w:ascii="Times New Roman" w:hAnsi="Times New Roman" w:cs="Times New Roman"/>
          <w:sz w:val="20"/>
          <w:szCs w:val="20"/>
          <w:lang w:val="en-US"/>
        </w:rPr>
        <w:t xml:space="preserve">sing a least square criterion, we calibrated the </w:t>
      </w:r>
      <w:proofErr w:type="spellStart"/>
      <w:r w:rsidR="004F259B" w:rsidRPr="00AB546F">
        <w:rPr>
          <w:rFonts w:ascii="Times New Roman" w:hAnsi="Times New Roman" w:cs="Times New Roman"/>
          <w:i/>
          <w:sz w:val="20"/>
          <w:szCs w:val="20"/>
          <w:lang w:val="en-US"/>
        </w:rPr>
        <w:t>p</w:t>
      </w:r>
      <w:r w:rsidR="004F259B" w:rsidRPr="00AB546F">
        <w:rPr>
          <w:rFonts w:ascii="Times New Roman" w:hAnsi="Times New Roman" w:cs="Times New Roman"/>
          <w:i/>
          <w:sz w:val="20"/>
          <w:szCs w:val="20"/>
          <w:vertAlign w:val="subscript"/>
          <w:lang w:val="en-US"/>
        </w:rPr>
        <w:t>col</w:t>
      </w:r>
      <w:proofErr w:type="spellEnd"/>
      <w:r w:rsidR="004F259B" w:rsidRPr="00AB546F">
        <w:rPr>
          <w:rFonts w:ascii="Times New Roman" w:hAnsi="Times New Roman" w:cs="Times New Roman"/>
          <w:sz w:val="20"/>
          <w:szCs w:val="20"/>
          <w:lang w:val="en-US"/>
        </w:rPr>
        <w:t xml:space="preserve"> </w:t>
      </w:r>
      <w:r w:rsidR="007456F2" w:rsidRPr="00AB546F">
        <w:rPr>
          <w:rFonts w:ascii="Times New Roman" w:hAnsi="Times New Roman" w:cs="Times New Roman"/>
          <w:sz w:val="20"/>
          <w:szCs w:val="20"/>
          <w:lang w:val="en-US"/>
        </w:rPr>
        <w:t xml:space="preserve">in order to best reproduce observed person-to-person transmission rate </w:t>
      </w:r>
      <w:r w:rsidR="004F259B" w:rsidRPr="00AB546F">
        <w:rPr>
          <w:rFonts w:ascii="Times New Roman" w:hAnsi="Times New Roman" w:cs="Times New Roman"/>
          <w:sz w:val="20"/>
          <w:szCs w:val="20"/>
          <w:lang w:val="en-US"/>
        </w:rPr>
        <w:t xml:space="preserve">from </w:t>
      </w:r>
      <w:r w:rsidR="00954DAA" w:rsidRPr="00AB546F">
        <w:rPr>
          <w:rFonts w:ascii="Times New Roman" w:hAnsi="Times New Roman" w:cs="Times New Roman"/>
          <w:sz w:val="20"/>
          <w:szCs w:val="20"/>
          <w:lang w:val="en-US"/>
        </w:rPr>
        <w:t xml:space="preserve">the study of </w:t>
      </w:r>
      <w:proofErr w:type="spellStart"/>
      <w:r w:rsidR="004F259B" w:rsidRPr="00AB546F">
        <w:rPr>
          <w:rFonts w:ascii="Times New Roman" w:hAnsi="Times New Roman" w:cs="Times New Roman"/>
          <w:sz w:val="20"/>
          <w:szCs w:val="20"/>
          <w:lang w:val="en-US"/>
        </w:rPr>
        <w:t>Arcilla</w:t>
      </w:r>
      <w:proofErr w:type="spellEnd"/>
      <w:r w:rsidR="004F259B" w:rsidRPr="00AB546F">
        <w:rPr>
          <w:rFonts w:ascii="Times New Roman" w:hAnsi="Times New Roman" w:cs="Times New Roman"/>
          <w:sz w:val="20"/>
          <w:szCs w:val="20"/>
          <w:lang w:val="en-US"/>
        </w:rPr>
        <w:t xml:space="preserve"> et al. </w:t>
      </w:r>
      <w:r w:rsidR="00954DAA" w:rsidRPr="00AB546F">
        <w:rPr>
          <w:rFonts w:ascii="Times New Roman" w:hAnsi="Times New Roman" w:cs="Times New Roman"/>
          <w:sz w:val="20"/>
          <w:szCs w:val="20"/>
          <w:lang w:val="en-US"/>
        </w:rPr>
        <w:fldChar w:fldCharType="begin"/>
      </w:r>
      <w:r w:rsidR="008C5DFA">
        <w:rPr>
          <w:rFonts w:ascii="Times New Roman" w:hAnsi="Times New Roman" w:cs="Times New Roman"/>
          <w:sz w:val="20"/>
          <w:szCs w:val="20"/>
          <w:lang w:val="en-US"/>
        </w:rPr>
        <w:instrText xml:space="preserve"> ADDIN ZOTERO_ITEM CSL_CITATION {"citationID":"17skktrt36","properties":{"formattedCitation":"[1]","plainCitation":"[1]"},"citationItems":[{"id":457,"uris":["http://zotero.org/users/local/hjvuTSYk/items/EQ2CM7GZ"],"uri":["http://zotero.org/users/local/hjvuTSYk/items/EQ2CM7GZ"],"itemData":{"id":457,"type":"article-journal","title":"Import and spread of extended-spectrum β-lactamase-producing Enterobacteriaceae by international travellers (COMBAT study): a prospective, multicentre cohort study","container-title":"The Lancet Infectious Diseases","page":"78-85","volume":"17","issue":"1","source":"www.thelancet.com","abstract":"&lt;h2&gt;Summary&lt;/h2&gt;&lt;h3&gt;Background&lt;/h3&gt;&lt;p&gt;International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transmission.&lt;/p&gt;&lt;h3&gt;Methods&lt;/h3&gt;&lt;p&gt;Within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NCT01676974.&lt;/p&gt;&lt;h3&gt;Findings&lt;/h3&gt;&lt;p&gt;633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5–18).&lt;/p&gt;&lt;h3&gt;Interpretation&lt;/h3&gt;&lt;p&gt;Acquisition and spread of ESBL-E during and after international travel was substantial and worrisome. Travellers to areas with a high risk of ESBL-E acquisition should be viewed as potential carriers of ESBL-E for up to 12 months after return.&lt;/p&gt;&lt;h3&gt;Funding&lt;/h3&gt;&lt;p&gt;Netherlands Organisation for Health Research and Development (ZonMw).&lt;/p&gt;","DOI":"10.1016/S1473-3099(16)30319-X","ISSN":"1473-3099, 1474-4457","note":"PMID: 27751772, 27751772","shortTitle":"Import and spread of extended-spectrum β-lactamase-producing Enterobacteriaceae by international travellers (COMBAT study)","journalAbbreviation":"The Lancet Infectious Diseases","language":"English","author":[{"family":"Arcilla","given":"Maris S."},{"family":"Hattem","given":"Jarne M.","dropping-particle":"van"},{"family":"Haverkate","given":"Manon R."},{"family":"Bootsma","given":"Martin C. J."},{"family":"Genderen","given":"Perry J. J.","dropping-particle":"van"},{"family":"Goorhuis","given":"Abraham"},{"family":"Grobusch","given":"Martin P."},{"family":"Lashof","given":"Astrid M. Oude"},{"family":"Molhoek","given":"Nicky"},{"family":"Schultsz","given":"Constance"},{"family":"Stobberingh","given":"Ellen E."},{"family":"Verbrugh","given":"Henri A."},{"family":"Jong","given":"Menno D.","dropping-particle":"de"},{"family":"Melles","given":"Damian C."},{"family":"Penders","given":"John"}],"issued":{"date-parts":[["2017",1,1]]},"PMID":"27751772"}}],"schema":"https://github.com/citation-style-language/schema/raw/master/csl-citation.json"} </w:instrText>
      </w:r>
      <w:r w:rsidR="00954DAA" w:rsidRPr="00AB546F">
        <w:rPr>
          <w:rFonts w:ascii="Times New Roman" w:hAnsi="Times New Roman" w:cs="Times New Roman"/>
          <w:sz w:val="20"/>
          <w:szCs w:val="20"/>
          <w:lang w:val="en-US"/>
        </w:rPr>
        <w:fldChar w:fldCharType="separate"/>
      </w:r>
      <w:r w:rsidR="008C5DFA" w:rsidRPr="008C5DFA">
        <w:rPr>
          <w:rFonts w:ascii="Times New Roman" w:hAnsi="Times New Roman" w:cs="Times New Roman"/>
          <w:sz w:val="20"/>
          <w:lang w:val="en-US"/>
        </w:rPr>
        <w:t>[1]</w:t>
      </w:r>
      <w:r w:rsidR="00954DAA" w:rsidRPr="00AB546F">
        <w:rPr>
          <w:rFonts w:ascii="Times New Roman" w:hAnsi="Times New Roman" w:cs="Times New Roman"/>
          <w:sz w:val="20"/>
          <w:szCs w:val="20"/>
          <w:lang w:val="en-US"/>
        </w:rPr>
        <w:fldChar w:fldCharType="end"/>
      </w:r>
      <w:r w:rsidR="008C5DFA">
        <w:rPr>
          <w:rFonts w:ascii="Times New Roman" w:hAnsi="Times New Roman" w:cs="Times New Roman"/>
          <w:sz w:val="20"/>
          <w:szCs w:val="20"/>
          <w:lang w:val="en-US"/>
        </w:rPr>
        <w:t>.</w:t>
      </w:r>
    </w:p>
    <w:p w:rsidR="009A2EB7" w:rsidRPr="00AB546F" w:rsidRDefault="009A2EB7" w:rsidP="007456F2">
      <w:pPr>
        <w:jc w:val="both"/>
        <w:rPr>
          <w:rFonts w:ascii="Times New Roman" w:hAnsi="Times New Roman" w:cs="Times New Roman"/>
          <w:b/>
          <w:sz w:val="20"/>
          <w:szCs w:val="20"/>
          <w:lang w:val="en-GB"/>
        </w:rPr>
      </w:pPr>
      <w:r w:rsidRPr="00AB546F">
        <w:rPr>
          <w:rFonts w:ascii="Times New Roman" w:hAnsi="Times New Roman" w:cs="Times New Roman"/>
          <w:b/>
          <w:sz w:val="20"/>
          <w:szCs w:val="20"/>
          <w:lang w:val="en-GB"/>
        </w:rPr>
        <w:t>Main model parameters</w:t>
      </w:r>
    </w:p>
    <w:p w:rsidR="003B7DFE" w:rsidRPr="00AB546F" w:rsidRDefault="005F1961" w:rsidP="003B7DFE">
      <w:pPr>
        <w:pStyle w:val="Lgende"/>
        <w:keepNext/>
        <w:jc w:val="both"/>
        <w:rPr>
          <w:rFonts w:ascii="Times New Roman" w:hAnsi="Times New Roman" w:cs="Times New Roman"/>
          <w:b/>
          <w:i w:val="0"/>
          <w:color w:val="auto"/>
          <w:sz w:val="20"/>
          <w:szCs w:val="20"/>
          <w:lang w:val="en-GB"/>
        </w:rPr>
      </w:pPr>
      <w:r w:rsidRPr="00AB546F">
        <w:rPr>
          <w:rFonts w:ascii="Times New Roman" w:hAnsi="Times New Roman" w:cs="Times New Roman"/>
          <w:b/>
          <w:i w:val="0"/>
          <w:color w:val="auto"/>
          <w:sz w:val="20"/>
          <w:szCs w:val="20"/>
          <w:lang w:val="en-GB"/>
        </w:rPr>
        <w:t>Supplementary Table S1</w:t>
      </w:r>
      <w:r w:rsidR="003B7DFE" w:rsidRPr="00AB546F">
        <w:rPr>
          <w:rFonts w:ascii="Times New Roman" w:hAnsi="Times New Roman" w:cs="Times New Roman"/>
          <w:b/>
          <w:i w:val="0"/>
          <w:color w:val="auto"/>
          <w:sz w:val="20"/>
          <w:szCs w:val="20"/>
          <w:lang w:val="en-GB"/>
        </w:rPr>
        <w:t xml:space="preserve">. </w:t>
      </w:r>
      <w:r w:rsidR="003B7DFE" w:rsidRPr="00AB546F">
        <w:rPr>
          <w:rFonts w:ascii="Times New Roman" w:hAnsi="Times New Roman" w:cs="Times New Roman"/>
          <w:i w:val="0"/>
          <w:color w:val="auto"/>
          <w:sz w:val="20"/>
          <w:szCs w:val="20"/>
          <w:lang w:val="en-GB"/>
        </w:rPr>
        <w:t>Base case values of input parameters used in the model of ESBL-EC transmission in a household</w:t>
      </w:r>
      <w:r w:rsidR="00BE1A11" w:rsidRPr="00AB546F">
        <w:rPr>
          <w:rFonts w:ascii="Times New Roman" w:hAnsi="Times New Roman" w:cs="Times New Roman"/>
          <w:i w:val="0"/>
          <w:color w:val="auto"/>
          <w:sz w:val="20"/>
          <w:szCs w:val="20"/>
          <w:lang w:val="en-GB"/>
        </w:rPr>
        <w:t xml:space="preserve"> and ranges for the sensitivity analysis.</w:t>
      </w:r>
      <w:r w:rsidR="003B7DFE" w:rsidRPr="00AB546F">
        <w:rPr>
          <w:rFonts w:ascii="Times New Roman" w:hAnsi="Times New Roman" w:cs="Times New Roman"/>
          <w:i w:val="0"/>
          <w:color w:val="auto"/>
          <w:sz w:val="20"/>
          <w:szCs w:val="20"/>
          <w:lang w:val="en-GB"/>
        </w:rPr>
        <w:t xml:space="preserve"> </w:t>
      </w:r>
    </w:p>
    <w:tbl>
      <w:tblPr>
        <w:tblStyle w:val="Grilledutableau"/>
        <w:tblpPr w:leftFromText="141" w:rightFromText="141" w:vertAnchor="text" w:horzAnchor="page" w:tblpX="984" w:tblpY="241"/>
        <w:tblW w:w="10485" w:type="dxa"/>
        <w:tblLook w:val="04A0" w:firstRow="1" w:lastRow="0" w:firstColumn="1" w:lastColumn="0" w:noHBand="0" w:noVBand="1"/>
      </w:tblPr>
      <w:tblGrid>
        <w:gridCol w:w="1413"/>
        <w:gridCol w:w="3865"/>
        <w:gridCol w:w="1309"/>
        <w:gridCol w:w="1354"/>
        <w:gridCol w:w="2544"/>
      </w:tblGrid>
      <w:tr w:rsidR="00DC431D" w:rsidRPr="002C7656" w:rsidTr="00CC6CAC">
        <w:tc>
          <w:tcPr>
            <w:tcW w:w="1413" w:type="dxa"/>
            <w:shd w:val="clear" w:color="auto" w:fill="DEEAF6" w:themeFill="accent1" w:themeFillTint="33"/>
          </w:tcPr>
          <w:p w:rsidR="00DC431D" w:rsidRPr="00D54669" w:rsidRDefault="00DC431D" w:rsidP="00DC431D">
            <w:pPr>
              <w:jc w:val="center"/>
              <w:rPr>
                <w:rFonts w:ascii="Times New Roman" w:hAnsi="Times New Roman" w:cs="Times New Roman"/>
                <w:b/>
                <w:sz w:val="20"/>
                <w:szCs w:val="20"/>
                <w:lang w:val="en-GB"/>
              </w:rPr>
            </w:pPr>
            <w:r w:rsidRPr="00D54669">
              <w:rPr>
                <w:rFonts w:ascii="Times New Roman" w:hAnsi="Times New Roman" w:cs="Times New Roman"/>
                <w:b/>
                <w:sz w:val="20"/>
                <w:szCs w:val="20"/>
                <w:lang w:val="en-GB"/>
              </w:rPr>
              <w:t>Parameters</w:t>
            </w:r>
          </w:p>
        </w:tc>
        <w:tc>
          <w:tcPr>
            <w:tcW w:w="3865" w:type="dxa"/>
            <w:shd w:val="clear" w:color="auto" w:fill="DEEAF6" w:themeFill="accent1" w:themeFillTint="33"/>
          </w:tcPr>
          <w:p w:rsidR="00DC431D" w:rsidRPr="00D54669" w:rsidRDefault="00DC431D" w:rsidP="00DC431D">
            <w:pPr>
              <w:jc w:val="center"/>
              <w:rPr>
                <w:rFonts w:ascii="Times New Roman" w:hAnsi="Times New Roman" w:cs="Times New Roman"/>
                <w:b/>
                <w:sz w:val="20"/>
                <w:szCs w:val="20"/>
                <w:lang w:val="en-GB"/>
              </w:rPr>
            </w:pPr>
            <w:r w:rsidRPr="00D54669">
              <w:rPr>
                <w:rFonts w:ascii="Times New Roman" w:hAnsi="Times New Roman" w:cs="Times New Roman"/>
                <w:b/>
                <w:sz w:val="20"/>
                <w:szCs w:val="20"/>
                <w:lang w:val="en-GB"/>
              </w:rPr>
              <w:t>Description</w:t>
            </w:r>
          </w:p>
        </w:tc>
        <w:tc>
          <w:tcPr>
            <w:tcW w:w="1309" w:type="dxa"/>
            <w:shd w:val="clear" w:color="auto" w:fill="DEEAF6" w:themeFill="accent1" w:themeFillTint="33"/>
          </w:tcPr>
          <w:p w:rsidR="00DC431D" w:rsidRPr="00D54669" w:rsidRDefault="00DC431D" w:rsidP="00DC431D">
            <w:pPr>
              <w:jc w:val="center"/>
              <w:rPr>
                <w:rFonts w:ascii="Times New Roman" w:hAnsi="Times New Roman" w:cs="Times New Roman"/>
                <w:b/>
                <w:sz w:val="20"/>
                <w:szCs w:val="20"/>
                <w:lang w:val="en-GB"/>
              </w:rPr>
            </w:pPr>
            <w:r w:rsidRPr="00D54669">
              <w:rPr>
                <w:rFonts w:ascii="Times New Roman" w:hAnsi="Times New Roman" w:cs="Times New Roman"/>
                <w:b/>
                <w:sz w:val="20"/>
                <w:szCs w:val="20"/>
                <w:lang w:val="en-GB"/>
              </w:rPr>
              <w:t>Base case values</w:t>
            </w:r>
          </w:p>
        </w:tc>
        <w:tc>
          <w:tcPr>
            <w:tcW w:w="1354" w:type="dxa"/>
            <w:shd w:val="clear" w:color="auto" w:fill="DEEAF6" w:themeFill="accent1" w:themeFillTint="33"/>
          </w:tcPr>
          <w:p w:rsidR="00DC431D" w:rsidRPr="00D54669" w:rsidRDefault="00DC431D" w:rsidP="00DC431D">
            <w:pPr>
              <w:jc w:val="center"/>
              <w:rPr>
                <w:rFonts w:ascii="Times New Roman" w:hAnsi="Times New Roman" w:cs="Times New Roman"/>
                <w:b/>
                <w:sz w:val="20"/>
                <w:szCs w:val="20"/>
                <w:lang w:val="en-GB"/>
              </w:rPr>
            </w:pPr>
            <w:r w:rsidRPr="00D54669">
              <w:rPr>
                <w:rFonts w:ascii="Times New Roman" w:hAnsi="Times New Roman" w:cs="Times New Roman"/>
                <w:b/>
                <w:sz w:val="20"/>
                <w:szCs w:val="20"/>
                <w:lang w:val="en-GB"/>
              </w:rPr>
              <w:t>Sources</w:t>
            </w:r>
          </w:p>
        </w:tc>
        <w:tc>
          <w:tcPr>
            <w:tcW w:w="2544" w:type="dxa"/>
            <w:shd w:val="clear" w:color="auto" w:fill="DEEAF6" w:themeFill="accent1" w:themeFillTint="33"/>
          </w:tcPr>
          <w:p w:rsidR="00DC431D" w:rsidRPr="00D54669" w:rsidRDefault="00DC431D" w:rsidP="00904291">
            <w:pPr>
              <w:jc w:val="center"/>
              <w:rPr>
                <w:rFonts w:ascii="Times New Roman" w:hAnsi="Times New Roman" w:cs="Times New Roman"/>
                <w:b/>
                <w:sz w:val="20"/>
                <w:szCs w:val="20"/>
                <w:lang w:val="en-GB"/>
              </w:rPr>
            </w:pPr>
            <w:r w:rsidRPr="00D54669">
              <w:rPr>
                <w:rFonts w:ascii="Times New Roman" w:hAnsi="Times New Roman" w:cs="Times New Roman"/>
                <w:b/>
                <w:sz w:val="20"/>
                <w:szCs w:val="20"/>
                <w:lang w:val="en-GB"/>
              </w:rPr>
              <w:t>Range tested for  the sensitivity analysis</w:t>
            </w:r>
          </w:p>
        </w:tc>
      </w:tr>
      <w:tr w:rsidR="00DC431D" w:rsidRPr="002C7656"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GB"/>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Population</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N</w:t>
            </w:r>
            <w:r w:rsidRPr="00C54618">
              <w:rPr>
                <w:rFonts w:ascii="Times New Roman" w:hAnsi="Times New Roman" w:cs="Times New Roman"/>
                <w:i/>
                <w:sz w:val="16"/>
                <w:szCs w:val="16"/>
                <w:vertAlign w:val="subscript"/>
                <w:lang w:val="en-GB"/>
              </w:rPr>
              <w:t>h</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Household size</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2-4</w:t>
            </w:r>
          </w:p>
        </w:tc>
        <w:tc>
          <w:tcPr>
            <w:tcW w:w="1354"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assumed</w:t>
            </w:r>
          </w:p>
        </w:tc>
        <w:tc>
          <w:tcPr>
            <w:tcW w:w="2544" w:type="dxa"/>
          </w:tcPr>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i/>
                <w:sz w:val="16"/>
                <w:szCs w:val="16"/>
                <w:lang w:val="en-GB"/>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Antibiotic treatment</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Daily probability of antibiotic prescription :</w:t>
            </w:r>
          </w:p>
        </w:tc>
        <w:tc>
          <w:tcPr>
            <w:tcW w:w="1309" w:type="dxa"/>
          </w:tcPr>
          <w:p w:rsidR="00DC431D" w:rsidRPr="00C54618" w:rsidRDefault="00DC431D" w:rsidP="00DC431D">
            <w:pPr>
              <w:jc w:val="center"/>
              <w:rPr>
                <w:rFonts w:ascii="Times New Roman" w:hAnsi="Times New Roman" w:cs="Times New Roman"/>
                <w:sz w:val="16"/>
                <w:szCs w:val="16"/>
                <w:lang w:val="en-GB"/>
              </w:rPr>
            </w:pPr>
          </w:p>
        </w:tc>
        <w:tc>
          <w:tcPr>
            <w:tcW w:w="1354" w:type="dxa"/>
          </w:tcPr>
          <w:p w:rsidR="00DC431D" w:rsidRPr="00C54618" w:rsidRDefault="00DC431D" w:rsidP="00DC431D">
            <w:pPr>
              <w:jc w:val="both"/>
              <w:rPr>
                <w:rFonts w:ascii="Times New Roman" w:hAnsi="Times New Roman" w:cs="Times New Roman"/>
                <w:sz w:val="16"/>
                <w:szCs w:val="16"/>
                <w:lang w:val="en-GB"/>
              </w:rPr>
            </w:pPr>
          </w:p>
        </w:tc>
        <w:tc>
          <w:tcPr>
            <w:tcW w:w="2544" w:type="dxa"/>
          </w:tcPr>
          <w:p w:rsidR="00DC431D" w:rsidRPr="00C54618" w:rsidRDefault="00DC431D" w:rsidP="00904291">
            <w:pPr>
              <w:jc w:val="center"/>
              <w:rPr>
                <w:rFonts w:ascii="Times New Roman" w:hAnsi="Times New Roman" w:cs="Times New Roman"/>
                <w:sz w:val="16"/>
                <w:szCs w:val="16"/>
                <w:lang w:val="en-GB"/>
              </w:rPr>
            </w:pPr>
          </w:p>
        </w:tc>
      </w:tr>
      <w:tr w:rsidR="00DC431D" w:rsidRPr="00D54669" w:rsidTr="00CC6CAC">
        <w:tc>
          <w:tcPr>
            <w:tcW w:w="1413" w:type="dxa"/>
          </w:tcPr>
          <w:p w:rsidR="00DC431D" w:rsidRPr="002C7656" w:rsidRDefault="00DC431D" w:rsidP="00DC431D">
            <w:pPr>
              <w:jc w:val="both"/>
              <w:rPr>
                <w:rFonts w:ascii="Times New Roman" w:hAnsi="Times New Roman" w:cs="Times New Roman"/>
                <w:i/>
                <w:sz w:val="16"/>
                <w:szCs w:val="16"/>
                <w:vertAlign w:val="subscript"/>
                <w:lang w:val="en-US"/>
              </w:rPr>
            </w:pPr>
            <w:proofErr w:type="spellStart"/>
            <w:r w:rsidRPr="002C7656">
              <w:rPr>
                <w:rFonts w:ascii="Times New Roman" w:hAnsi="Times New Roman" w:cs="Times New Roman"/>
                <w:i/>
                <w:sz w:val="16"/>
                <w:szCs w:val="16"/>
                <w:lang w:val="en-US"/>
              </w:rPr>
              <w:t>p</w:t>
            </w:r>
            <w:r w:rsidRPr="002C7656">
              <w:rPr>
                <w:rFonts w:ascii="Times New Roman" w:hAnsi="Times New Roman" w:cs="Times New Roman"/>
                <w:i/>
                <w:sz w:val="16"/>
                <w:szCs w:val="16"/>
                <w:vertAlign w:val="subscript"/>
                <w:lang w:val="en-US"/>
              </w:rPr>
              <w:t>atb,m</w:t>
            </w:r>
            <w:proofErr w:type="spellEnd"/>
          </w:p>
          <w:p w:rsidR="00DC431D" w:rsidRPr="002C7656" w:rsidRDefault="00DC431D" w:rsidP="00DC431D">
            <w:pPr>
              <w:jc w:val="both"/>
              <w:rPr>
                <w:rFonts w:ascii="Times New Roman" w:hAnsi="Times New Roman" w:cs="Times New Roman"/>
                <w:i/>
                <w:sz w:val="16"/>
                <w:szCs w:val="16"/>
                <w:vertAlign w:val="subscript"/>
                <w:lang w:val="en-US"/>
              </w:rPr>
            </w:pPr>
            <w:proofErr w:type="spellStart"/>
            <w:r w:rsidRPr="002C7656">
              <w:rPr>
                <w:rFonts w:ascii="Times New Roman" w:hAnsi="Times New Roman" w:cs="Times New Roman"/>
                <w:i/>
                <w:sz w:val="16"/>
                <w:szCs w:val="16"/>
                <w:lang w:val="en-US"/>
              </w:rPr>
              <w:t>p</w:t>
            </w:r>
            <w:r w:rsidRPr="002C7656">
              <w:rPr>
                <w:rFonts w:ascii="Times New Roman" w:hAnsi="Times New Roman" w:cs="Times New Roman"/>
                <w:i/>
                <w:sz w:val="16"/>
                <w:szCs w:val="16"/>
                <w:vertAlign w:val="subscript"/>
                <w:lang w:val="en-US"/>
              </w:rPr>
              <w:t>atb,w</w:t>
            </w:r>
            <w:proofErr w:type="spellEnd"/>
          </w:p>
          <w:p w:rsidR="00DC431D" w:rsidRPr="002C7656" w:rsidRDefault="00DC431D" w:rsidP="00DC431D">
            <w:pPr>
              <w:jc w:val="both"/>
              <w:rPr>
                <w:rFonts w:ascii="Times New Roman" w:hAnsi="Times New Roman" w:cs="Times New Roman"/>
                <w:i/>
                <w:sz w:val="16"/>
                <w:szCs w:val="16"/>
                <w:vertAlign w:val="subscript"/>
                <w:lang w:val="en-US"/>
              </w:rPr>
            </w:pPr>
            <w:proofErr w:type="spellStart"/>
            <w:r w:rsidRPr="002C7656">
              <w:rPr>
                <w:rFonts w:ascii="Times New Roman" w:hAnsi="Times New Roman" w:cs="Times New Roman"/>
                <w:i/>
                <w:sz w:val="16"/>
                <w:szCs w:val="16"/>
                <w:lang w:val="en-US"/>
              </w:rPr>
              <w:t>p</w:t>
            </w:r>
            <w:r w:rsidRPr="002C7656">
              <w:rPr>
                <w:rFonts w:ascii="Times New Roman" w:hAnsi="Times New Roman" w:cs="Times New Roman"/>
                <w:i/>
                <w:sz w:val="16"/>
                <w:szCs w:val="16"/>
                <w:vertAlign w:val="subscript"/>
                <w:lang w:val="en-US"/>
              </w:rPr>
              <w:t>atb,ch</w:t>
            </w:r>
            <w:proofErr w:type="spellEnd"/>
          </w:p>
          <w:p w:rsidR="00DC431D" w:rsidRPr="00C54618" w:rsidRDefault="00DC431D" w:rsidP="00DC431D">
            <w:pPr>
              <w:jc w:val="both"/>
              <w:rPr>
                <w:rFonts w:ascii="Times New Roman" w:hAnsi="Times New Roman" w:cs="Times New Roman"/>
                <w:i/>
                <w:sz w:val="16"/>
                <w:szCs w:val="16"/>
                <w:vertAlign w:val="subscript"/>
                <w:lang w:val="en-GB"/>
              </w:rPr>
            </w:pPr>
            <w:proofErr w:type="spellStart"/>
            <w:r w:rsidRPr="00C54618">
              <w:rPr>
                <w:rFonts w:ascii="Times New Roman" w:hAnsi="Times New Roman" w:cs="Times New Roman"/>
                <w:i/>
                <w:sz w:val="16"/>
                <w:szCs w:val="16"/>
                <w:lang w:val="en-GB"/>
              </w:rPr>
              <w:t>p</w:t>
            </w:r>
            <w:r w:rsidRPr="00C54618">
              <w:rPr>
                <w:rFonts w:ascii="Times New Roman" w:hAnsi="Times New Roman" w:cs="Times New Roman"/>
                <w:i/>
                <w:sz w:val="16"/>
                <w:szCs w:val="16"/>
                <w:vertAlign w:val="subscript"/>
                <w:lang w:val="en-GB"/>
              </w:rPr>
              <w:t>atb,bb</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M</w:t>
            </w:r>
            <w:r w:rsidR="004D7625" w:rsidRPr="00C54618">
              <w:rPr>
                <w:rFonts w:ascii="Times New Roman" w:hAnsi="Times New Roman" w:cs="Times New Roman"/>
                <w:sz w:val="16"/>
                <w:szCs w:val="16"/>
                <w:lang w:val="en-GB"/>
              </w:rPr>
              <w:t>e</w:t>
            </w:r>
            <w:r w:rsidRPr="00C54618">
              <w:rPr>
                <w:rFonts w:ascii="Times New Roman" w:hAnsi="Times New Roman" w:cs="Times New Roman"/>
                <w:sz w:val="16"/>
                <w:szCs w:val="16"/>
                <w:lang w:val="en-GB"/>
              </w:rPr>
              <w:t>n</w:t>
            </w:r>
          </w:p>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Wom</w:t>
            </w:r>
            <w:r w:rsidR="004D7625" w:rsidRPr="00C54618">
              <w:rPr>
                <w:rFonts w:ascii="Times New Roman" w:hAnsi="Times New Roman" w:cs="Times New Roman"/>
                <w:sz w:val="16"/>
                <w:szCs w:val="16"/>
                <w:lang w:val="en-GB"/>
              </w:rPr>
              <w:t>e</w:t>
            </w:r>
            <w:r w:rsidRPr="00C54618">
              <w:rPr>
                <w:rFonts w:ascii="Times New Roman" w:hAnsi="Times New Roman" w:cs="Times New Roman"/>
                <w:sz w:val="16"/>
                <w:szCs w:val="16"/>
                <w:lang w:val="en-GB"/>
              </w:rPr>
              <w:t>n</w:t>
            </w:r>
          </w:p>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Children </w:t>
            </w:r>
          </w:p>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Babies </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86 * 10</w:t>
            </w:r>
            <w:r w:rsidRPr="00C54618">
              <w:rPr>
                <w:rFonts w:ascii="Times New Roman" w:hAnsi="Times New Roman" w:cs="Times New Roman"/>
                <w:sz w:val="16"/>
                <w:szCs w:val="16"/>
                <w:vertAlign w:val="superscript"/>
                <w:lang w:val="en-GB"/>
              </w:rPr>
              <w:t>-3</w:t>
            </w:r>
          </w:p>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86 * 10</w:t>
            </w:r>
            <w:r w:rsidRPr="00C54618">
              <w:rPr>
                <w:rFonts w:ascii="Times New Roman" w:hAnsi="Times New Roman" w:cs="Times New Roman"/>
                <w:sz w:val="16"/>
                <w:szCs w:val="16"/>
                <w:vertAlign w:val="superscript"/>
                <w:lang w:val="en-GB"/>
              </w:rPr>
              <w:t>-3</w:t>
            </w:r>
          </w:p>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30 * 10</w:t>
            </w:r>
            <w:r w:rsidRPr="00C54618">
              <w:rPr>
                <w:rFonts w:ascii="Times New Roman" w:hAnsi="Times New Roman" w:cs="Times New Roman"/>
                <w:sz w:val="16"/>
                <w:szCs w:val="16"/>
                <w:vertAlign w:val="superscript"/>
                <w:lang w:val="en-GB"/>
              </w:rPr>
              <w:t>-3</w:t>
            </w:r>
          </w:p>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8</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52 * 10</w:t>
            </w:r>
            <w:r w:rsidRPr="00C54618">
              <w:rPr>
                <w:rFonts w:ascii="Times New Roman" w:hAnsi="Times New Roman" w:cs="Times New Roman"/>
                <w:sz w:val="16"/>
                <w:szCs w:val="16"/>
                <w:vertAlign w:val="superscript"/>
                <w:lang w:val="en-GB"/>
              </w:rPr>
              <w:t>-3</w:t>
            </w:r>
          </w:p>
        </w:tc>
        <w:tc>
          <w:tcPr>
            <w:tcW w:w="1354"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EQKw1giG","properties":{"formattedCitation":"[2]","plainCitation":"[2]"},"citationItems":[{"id":876,"uris":["http://zotero.org/users/local/hjvuTSYk/items/NBQB7C8Q"],"uri":["http://zotero.org/users/local/hjvuTSYk/items/NBQB7C8Q"],"itemData":{"id":876,"type":"article-journal","title":"Significant reduction of antibiotic use in the community after a nationwide campaign in France, 2002-2007","container-title":"PLoS medicine","page":"e1000084","volume":"6","issue":"6","source":"PubMed","abstract":"BACKGROUND: Overuse of antibiotics is the main force driving the emergence and dissemination of bacterial resistance in the community. France consumes more antibiotics and has the highest rate of beta-lactam resistance in Streptococcus pneumoniae than any other European country. In 2001, the government initiated \"Keep Antibiotics Working\"; the program's main component was a campaign entitled \"Les antibiotiques c'est pas automatique\" (\"Antibiotics are not automatic\") launched in 2002. We report the evaluation of this campaign by analyzing the evolution of outpatient antibiotic use in France 2000-2007, according to therapeutic class and geographic and age-group patterns.\nMETHODS AND FINDINGS: This evaluation is based on 2000-2007 data, including 453,407,458 individual reimbursement data records and incidence of flu-like syndromes (FLSs). Data were obtained from the computerized French National Health Insurance database and provided by the French Sentinel Network. As compared to the preintervention period (2000-2002), the total number of antibiotic prescriptions per 100 inhabitants, adjusted for FLS frequency during the winter season, changed by -26.5% (95% confidence interval [CI] -33.5% to -19.6%) over 5 years. The decline occurred in all 22 regions of France and affected all antibiotic therapeutic classes except quinolones. The greatest decrease, -35.8% (95% CI -48.3% to -23.2%), was observed among young children aged 6-15 years. A significant change of -45% in the relationship between the incidence of flu-like syndromes and antibiotic prescriptions was observed.\nCONCLUSIONS: The French national campaign was associated with a marked reduction of unnecessary antibiotic prescriptions, particularly in children. This study provides a useful method for assessing public-health strategies designed to reduce antibiotic use.","DOI":"10.1371/journal.pmed.1000084","ISSN":"1549-1676","note":"PMID: 19492093\nPMCID: PMC2683932","journalAbbreviation":"PLoS Med.","language":"eng","author":[{"family":"Sabuncu","given":"Elifsu"},{"family":"David","given":"Julie"},{"family":"Bernède-Bauduin","given":"Claire"},{"family":"Pépin","given":"Sophie"},{"family":"Leroy","given":"Michel"},{"family":"Boëlle","given":"Pierre-Yves"},{"family":"Watier","given":"Laurence"},{"family":"Guillemot","given":"Didier"}],"issued":{"date-parts":[["2009",6,2]]},"PMID":"19492093","PMCID":"PMC2683932"}}],"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[2]</w:t>
            </w:r>
            <w:r w:rsidRPr="00C54618">
              <w:rPr>
                <w:rFonts w:ascii="Times New Roman" w:hAnsi="Times New Roman" w:cs="Times New Roman"/>
                <w:sz w:val="16"/>
                <w:szCs w:val="16"/>
                <w:lang w:val="en-GB"/>
              </w:rPr>
              <w:fldChar w:fldCharType="end"/>
            </w:r>
            <w:r w:rsidRPr="00C54618">
              <w:rPr>
                <w:rFonts w:ascii="Times New Roman" w:hAnsi="Times New Roman" w:cs="Times New Roman"/>
                <w:sz w:val="16"/>
                <w:szCs w:val="16"/>
                <w:lang w:val="en-GB"/>
              </w:rPr>
              <w:t xml:space="preserve"> </w:t>
            </w:r>
          </w:p>
        </w:tc>
        <w:tc>
          <w:tcPr>
            <w:tcW w:w="2544" w:type="dxa"/>
          </w:tcPr>
          <w:p w:rsidR="00DC431D" w:rsidRPr="00C54618" w:rsidRDefault="00DC431D" w:rsidP="00904291">
            <w:pPr>
              <w:jc w:val="center"/>
              <w:rPr>
                <w:rFonts w:ascii="Times New Roman" w:hAnsi="Times New Roman" w:cs="Times New Roman"/>
                <w:sz w:val="16"/>
                <w:szCs w:val="16"/>
                <w:vertAlign w:val="superscript"/>
                <w:lang w:val="en-GB"/>
              </w:rPr>
            </w:pPr>
            <w:r w:rsidRPr="00C54618">
              <w:rPr>
                <w:rFonts w:ascii="Times New Roman" w:hAnsi="Times New Roman" w:cs="Times New Roman"/>
                <w:sz w:val="16"/>
                <w:szCs w:val="16"/>
                <w:lang w:val="en-GB"/>
              </w:rPr>
              <w:t>1</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r w:rsidR="00904291" w:rsidRPr="00C54618">
              <w:rPr>
                <w:rFonts w:ascii="Times New Roman" w:hAnsi="Times New Roman" w:cs="Times New Roman"/>
                <w:sz w:val="16"/>
                <w:szCs w:val="16"/>
                <w:lang w:val="en-GB"/>
              </w:rPr>
              <w:t>0</w:t>
            </w:r>
            <w:r w:rsidRPr="00C54618">
              <w:rPr>
                <w:rFonts w:ascii="Times New Roman" w:hAnsi="Times New Roman" w:cs="Times New Roman"/>
                <w:sz w:val="16"/>
                <w:szCs w:val="16"/>
                <w:lang w:val="en-GB"/>
              </w:rPr>
              <w:t>* 10</w:t>
            </w:r>
            <w:r w:rsidRPr="00C54618">
              <w:rPr>
                <w:rFonts w:ascii="Times New Roman" w:hAnsi="Times New Roman" w:cs="Times New Roman"/>
                <w:sz w:val="16"/>
                <w:szCs w:val="16"/>
                <w:vertAlign w:val="superscript"/>
                <w:lang w:val="en-GB"/>
              </w:rPr>
              <w:t xml:space="preserve">-3 </w:t>
            </w:r>
            <w:r w:rsidRPr="00C54618">
              <w:rPr>
                <w:rFonts w:ascii="Times New Roman" w:hAnsi="Times New Roman" w:cs="Times New Roman"/>
                <w:sz w:val="16"/>
                <w:szCs w:val="16"/>
                <w:lang w:val="en-GB"/>
              </w:rPr>
              <w:t>– 4</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 10</w:t>
            </w:r>
            <w:r w:rsidRPr="00C54618">
              <w:rPr>
                <w:rFonts w:ascii="Times New Roman" w:hAnsi="Times New Roman" w:cs="Times New Roman"/>
                <w:sz w:val="16"/>
                <w:szCs w:val="16"/>
                <w:vertAlign w:val="superscript"/>
                <w:lang w:val="en-GB"/>
              </w:rPr>
              <w:t>-3</w:t>
            </w:r>
          </w:p>
          <w:p w:rsidR="00DC431D" w:rsidRPr="00C54618" w:rsidRDefault="00DC431D" w:rsidP="00904291">
            <w:pPr>
              <w:jc w:val="center"/>
              <w:rPr>
                <w:rFonts w:ascii="Times New Roman" w:hAnsi="Times New Roman" w:cs="Times New Roman"/>
                <w:sz w:val="16"/>
                <w:szCs w:val="16"/>
                <w:vertAlign w:val="superscript"/>
                <w:lang w:val="en-GB"/>
              </w:rPr>
            </w:pPr>
            <w:r w:rsidRPr="00C54618">
              <w:rPr>
                <w:rFonts w:ascii="Times New Roman" w:hAnsi="Times New Roman" w:cs="Times New Roman"/>
                <w:sz w:val="16"/>
                <w:szCs w:val="16"/>
                <w:lang w:val="en-GB"/>
              </w:rPr>
              <w:t>1</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r w:rsidR="00904291" w:rsidRPr="00C54618">
              <w:rPr>
                <w:rFonts w:ascii="Times New Roman" w:hAnsi="Times New Roman" w:cs="Times New Roman"/>
                <w:sz w:val="16"/>
                <w:szCs w:val="16"/>
                <w:lang w:val="en-GB"/>
              </w:rPr>
              <w:t>0</w:t>
            </w:r>
            <w:r w:rsidRPr="00C54618">
              <w:rPr>
                <w:rFonts w:ascii="Times New Roman" w:hAnsi="Times New Roman" w:cs="Times New Roman"/>
                <w:sz w:val="16"/>
                <w:szCs w:val="16"/>
                <w:lang w:val="en-GB"/>
              </w:rPr>
              <w:t>* 10</w:t>
            </w:r>
            <w:r w:rsidRPr="00C54618">
              <w:rPr>
                <w:rFonts w:ascii="Times New Roman" w:hAnsi="Times New Roman" w:cs="Times New Roman"/>
                <w:sz w:val="16"/>
                <w:szCs w:val="16"/>
                <w:vertAlign w:val="superscript"/>
                <w:lang w:val="en-GB"/>
              </w:rPr>
              <w:t xml:space="preserve">-3 </w:t>
            </w:r>
            <w:r w:rsidRPr="00C54618">
              <w:rPr>
                <w:rFonts w:ascii="Times New Roman" w:hAnsi="Times New Roman" w:cs="Times New Roman"/>
                <w:sz w:val="16"/>
                <w:szCs w:val="16"/>
                <w:lang w:val="en-GB"/>
              </w:rPr>
              <w:t>– 4</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 10</w:t>
            </w:r>
            <w:r w:rsidRPr="00C54618">
              <w:rPr>
                <w:rFonts w:ascii="Times New Roman" w:hAnsi="Times New Roman" w:cs="Times New Roman"/>
                <w:sz w:val="16"/>
                <w:szCs w:val="16"/>
                <w:vertAlign w:val="superscript"/>
                <w:lang w:val="en-GB"/>
              </w:rPr>
              <w:t>-3</w:t>
            </w:r>
          </w:p>
          <w:p w:rsidR="00DC431D" w:rsidRPr="00C54618" w:rsidRDefault="00904291"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   </w:t>
            </w:r>
            <w:r w:rsidR="00DC431D" w:rsidRPr="00C54618">
              <w:rPr>
                <w:rFonts w:ascii="Times New Roman" w:hAnsi="Times New Roman" w:cs="Times New Roman"/>
                <w:sz w:val="16"/>
                <w:szCs w:val="16"/>
                <w:lang w:val="en-GB"/>
              </w:rPr>
              <w:t>2</w:t>
            </w:r>
            <w:r w:rsidR="002C7656">
              <w:rPr>
                <w:rFonts w:ascii="Times New Roman" w:hAnsi="Times New Roman" w:cs="Times New Roman"/>
                <w:sz w:val="16"/>
                <w:szCs w:val="16"/>
                <w:lang w:val="en-GB"/>
              </w:rPr>
              <w:t>.</w:t>
            </w:r>
            <w:r w:rsidR="00DC431D" w:rsidRPr="00C54618">
              <w:rPr>
                <w:rFonts w:ascii="Times New Roman" w:hAnsi="Times New Roman" w:cs="Times New Roman"/>
                <w:sz w:val="16"/>
                <w:szCs w:val="16"/>
                <w:lang w:val="en-GB"/>
              </w:rPr>
              <w:t>65* 10</w:t>
            </w:r>
            <w:r w:rsidR="00DC431D" w:rsidRPr="00C54618">
              <w:rPr>
                <w:rFonts w:ascii="Times New Roman" w:hAnsi="Times New Roman" w:cs="Times New Roman"/>
                <w:sz w:val="16"/>
                <w:szCs w:val="16"/>
                <w:vertAlign w:val="superscript"/>
                <w:lang w:val="en-GB"/>
              </w:rPr>
              <w:t>-3</w:t>
            </w:r>
            <w:r w:rsidR="00DC431D" w:rsidRPr="00C54618">
              <w:rPr>
                <w:rFonts w:ascii="Times New Roman" w:hAnsi="Times New Roman" w:cs="Times New Roman"/>
                <w:sz w:val="16"/>
                <w:szCs w:val="16"/>
                <w:lang w:val="en-GB"/>
              </w:rPr>
              <w:t xml:space="preserve"> </w:t>
            </w:r>
            <w:r w:rsidRPr="00C54618">
              <w:rPr>
                <w:rFonts w:ascii="Times New Roman" w:hAnsi="Times New Roman" w:cs="Times New Roman"/>
                <w:sz w:val="16"/>
                <w:szCs w:val="16"/>
                <w:lang w:val="en-GB"/>
              </w:rPr>
              <w:t>–</w:t>
            </w:r>
            <w:r w:rsidR="00DC431D" w:rsidRPr="00C54618">
              <w:rPr>
                <w:rFonts w:ascii="Times New Roman" w:hAnsi="Times New Roman" w:cs="Times New Roman"/>
                <w:sz w:val="16"/>
                <w:szCs w:val="16"/>
                <w:lang w:val="en-GB"/>
              </w:rPr>
              <w:t>7</w:t>
            </w:r>
            <w:r w:rsidR="002C7656">
              <w:rPr>
                <w:rFonts w:ascii="Times New Roman" w:hAnsi="Times New Roman" w:cs="Times New Roman"/>
                <w:sz w:val="16"/>
                <w:szCs w:val="16"/>
                <w:lang w:val="en-GB"/>
              </w:rPr>
              <w:t>.</w:t>
            </w:r>
            <w:r w:rsidR="00DC431D" w:rsidRPr="00C54618">
              <w:rPr>
                <w:rFonts w:ascii="Times New Roman" w:hAnsi="Times New Roman" w:cs="Times New Roman"/>
                <w:sz w:val="16"/>
                <w:szCs w:val="16"/>
                <w:lang w:val="en-GB"/>
              </w:rPr>
              <w:t>95* 10</w:t>
            </w:r>
            <w:r w:rsidR="00DC431D" w:rsidRPr="00C54618">
              <w:rPr>
                <w:rFonts w:ascii="Times New Roman" w:hAnsi="Times New Roman" w:cs="Times New Roman"/>
                <w:sz w:val="16"/>
                <w:szCs w:val="16"/>
                <w:vertAlign w:val="superscript"/>
                <w:lang w:val="en-GB"/>
              </w:rPr>
              <w:t>-3</w:t>
            </w:r>
          </w:p>
          <w:p w:rsidR="00DC431D" w:rsidRPr="00C54618" w:rsidRDefault="00904291"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  </w:t>
            </w:r>
            <w:r w:rsidR="00DC431D" w:rsidRPr="00C54618">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00DC431D" w:rsidRPr="00C54618">
              <w:rPr>
                <w:rFonts w:ascii="Times New Roman" w:hAnsi="Times New Roman" w:cs="Times New Roman"/>
                <w:sz w:val="16"/>
                <w:szCs w:val="16"/>
                <w:lang w:val="en-GB"/>
              </w:rPr>
              <w:t>26* 10</w:t>
            </w:r>
            <w:r w:rsidR="00DC431D" w:rsidRPr="00C54618">
              <w:rPr>
                <w:rFonts w:ascii="Times New Roman" w:hAnsi="Times New Roman" w:cs="Times New Roman"/>
                <w:sz w:val="16"/>
                <w:szCs w:val="16"/>
                <w:vertAlign w:val="superscript"/>
                <w:lang w:val="en-GB"/>
              </w:rPr>
              <w:t>-3</w:t>
            </w:r>
            <w:r w:rsidRPr="00C54618">
              <w:rPr>
                <w:rFonts w:ascii="Times New Roman" w:hAnsi="Times New Roman" w:cs="Times New Roman"/>
                <w:sz w:val="16"/>
                <w:szCs w:val="16"/>
                <w:vertAlign w:val="superscript"/>
                <w:lang w:val="en-GB"/>
              </w:rPr>
              <w:t xml:space="preserve"> </w:t>
            </w:r>
            <w:r w:rsidRPr="00C54618">
              <w:rPr>
                <w:rFonts w:ascii="Times New Roman" w:hAnsi="Times New Roman" w:cs="Times New Roman"/>
                <w:sz w:val="16"/>
                <w:szCs w:val="16"/>
                <w:lang w:val="en-GB"/>
              </w:rPr>
              <w:t xml:space="preserve">– </w:t>
            </w:r>
            <w:r w:rsidR="00DC431D" w:rsidRPr="00C54618">
              <w:rPr>
                <w:rFonts w:ascii="Times New Roman" w:hAnsi="Times New Roman" w:cs="Times New Roman"/>
                <w:sz w:val="16"/>
                <w:szCs w:val="16"/>
                <w:lang w:val="en-GB"/>
              </w:rPr>
              <w:t>1</w:t>
            </w:r>
            <w:r w:rsidR="002C7656">
              <w:rPr>
                <w:rFonts w:ascii="Times New Roman" w:hAnsi="Times New Roman" w:cs="Times New Roman"/>
                <w:sz w:val="16"/>
                <w:szCs w:val="16"/>
                <w:lang w:val="en-GB"/>
              </w:rPr>
              <w:t>.</w:t>
            </w:r>
            <w:r w:rsidR="00DC431D" w:rsidRPr="00C54618">
              <w:rPr>
                <w:rFonts w:ascii="Times New Roman" w:hAnsi="Times New Roman" w:cs="Times New Roman"/>
                <w:sz w:val="16"/>
                <w:szCs w:val="16"/>
                <w:lang w:val="en-GB"/>
              </w:rPr>
              <w:t>28* 10</w:t>
            </w:r>
            <w:r w:rsidR="00DC431D" w:rsidRPr="00C54618">
              <w:rPr>
                <w:rFonts w:ascii="Times New Roman" w:hAnsi="Times New Roman" w:cs="Times New Roman"/>
                <w:sz w:val="16"/>
                <w:szCs w:val="16"/>
                <w:vertAlign w:val="superscript"/>
                <w:lang w:val="en-GB"/>
              </w:rPr>
              <w:t>-2</w:t>
            </w:r>
          </w:p>
        </w:tc>
      </w:tr>
      <w:tr w:rsidR="00DC431D" w:rsidRPr="00D54669"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d</w:t>
            </w:r>
            <w:r w:rsidRPr="00C54618">
              <w:rPr>
                <w:rFonts w:ascii="Times New Roman" w:hAnsi="Times New Roman" w:cs="Times New Roman"/>
                <w:i/>
                <w:sz w:val="16"/>
                <w:szCs w:val="16"/>
                <w:vertAlign w:val="subscript"/>
                <w:lang w:val="en-GB"/>
              </w:rPr>
              <w:t>atb</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Duration of treatment (days)</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6</w:t>
            </w:r>
          </w:p>
        </w:tc>
        <w:tc>
          <w:tcPr>
            <w:tcW w:w="1354"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16qltequad","properties":{"formattedCitation":"[3]","plainCitation":"[3]"},"citationItems":[{"id":606,"uris":["http://zotero.org/users/local/hjvuTSYk/items/T2S2PPSW"],"uri":["http://zotero.org/users/local/hjvuTSYk/items/T2S2PPSW"],"itemData":{"id":606,"type":"webpage","title":"L’évolution des consommations  d’antibiotiques en France  entre 2000 et 2015","URL":"https://ansm.sante.fr/var/ansm_site/storage/original/application/188a6b5cf9cde90848ae9e3419bc3d3f.pdf","author":[{"literal":"ANSM"}],"issued":{"date-parts":[["2017"]]},"accessed":{"date-parts":[["2019",1,15]]}}}],"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[3]</w:t>
            </w:r>
            <w:r w:rsidRPr="00C54618">
              <w:rPr>
                <w:rFonts w:ascii="Times New Roman" w:hAnsi="Times New Roman" w:cs="Times New Roman"/>
                <w:sz w:val="16"/>
                <w:szCs w:val="16"/>
                <w:lang w:val="en-GB"/>
              </w:rPr>
              <w:fldChar w:fldCharType="end"/>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5-8 </w:t>
            </w: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NVWeGF1f","properties":{"formattedCitation":"[3]","plainCitation":"[3]"},"citationItems":[{"id":606,"uris":["http://zotero.org/users/local/hjvuTSYk/items/T2S2PPSW"],"uri":["http://zotero.org/users/local/hjvuTSYk/items/T2S2PPSW"],"itemData":{"id":606,"type":"webpage","title":"L’évolution des consommations  d’antibiotiques en France  entre 2000 et 2015","URL":"https://ansm.sante.fr/var/ansm_site/storage/original/application/188a6b5cf9cde90848ae9e3419bc3d3f.pdf","author":[{"literal":"ANSM"}],"issued":{"date-parts":[["2017"]]},"accessed":{"date-parts":[["2019",1,15]]}}}],"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[3]</w:t>
            </w:r>
            <w:r w:rsidRPr="00C54618">
              <w:rPr>
                <w:rFonts w:ascii="Times New Roman" w:hAnsi="Times New Roman" w:cs="Times New Roman"/>
                <w:sz w:val="16"/>
                <w:szCs w:val="16"/>
                <w:lang w:val="en-GB"/>
              </w:rPr>
              <w:fldChar w:fldCharType="end"/>
            </w:r>
          </w:p>
        </w:tc>
      </w:tr>
      <w:tr w:rsidR="00DC431D" w:rsidRPr="002C7656" w:rsidTr="00CC6CAC">
        <w:tc>
          <w:tcPr>
            <w:tcW w:w="1413" w:type="dxa"/>
            <w:shd w:val="clear" w:color="auto" w:fill="F2F2F2" w:themeFill="background1" w:themeFillShade="F2"/>
          </w:tcPr>
          <w:p w:rsidR="00DC431D" w:rsidRPr="00C54618" w:rsidRDefault="00DC431D" w:rsidP="00DC431D">
            <w:pPr>
              <w:rPr>
                <w:rFonts w:ascii="Times New Roman" w:hAnsi="Times New Roman" w:cs="Times New Roman"/>
                <w:b/>
                <w:i/>
                <w:sz w:val="16"/>
                <w:szCs w:val="16"/>
                <w:lang w:val="en-GB"/>
              </w:rPr>
            </w:pPr>
          </w:p>
        </w:tc>
        <w:tc>
          <w:tcPr>
            <w:tcW w:w="3865" w:type="dxa"/>
            <w:shd w:val="clear" w:color="auto" w:fill="F2F2F2" w:themeFill="background1" w:themeFillShade="F2"/>
          </w:tcPr>
          <w:p w:rsidR="00DC431D" w:rsidRPr="00C54618" w:rsidRDefault="00DC431D" w:rsidP="00DC431D">
            <w:pPr>
              <w:rPr>
                <w:rFonts w:ascii="Times New Roman" w:hAnsi="Times New Roman" w:cs="Times New Roman"/>
                <w:b/>
                <w:sz w:val="16"/>
                <w:szCs w:val="16"/>
                <w:lang w:val="en-GB"/>
              </w:rPr>
            </w:pPr>
            <w:r w:rsidRPr="00C54618">
              <w:rPr>
                <w:rFonts w:ascii="Times New Roman" w:hAnsi="Times New Roman" w:cs="Times New Roman"/>
                <w:b/>
                <w:sz w:val="16"/>
                <w:szCs w:val="16"/>
                <w:lang w:val="en-GB"/>
              </w:rPr>
              <w:t>Contamination during person-to-person contact</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D54669"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p</w:t>
            </w:r>
            <w:r w:rsidRPr="00C54618">
              <w:rPr>
                <w:rFonts w:ascii="Times New Roman" w:hAnsi="Times New Roman" w:cs="Times New Roman"/>
                <w:i/>
                <w:sz w:val="16"/>
                <w:szCs w:val="16"/>
                <w:vertAlign w:val="subscript"/>
                <w:lang w:val="en-GB"/>
              </w:rPr>
              <w:t>tr</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Probability of transmission (per contact)</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1</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XH7jcqjI","properties":{"formattedCitation":"[4,5]","plainCitation":"[4,5]"},"citationItems":[{"id":878,"uris":["http://zotero.org/users/local/hjvuTSYk/items/VGHAEANS"],"uri":["http://zotero.org/users/local/hjvuTSYk/items/VGHAEANS"],"itemData":{"id":878,"type":"article-journal","title":"Dynamics of bacterial hand contamination during routine neonatal care","container-title":"Infection Control and Hospital Epidemiology","page":"192-197","volume":"25","issue":"3","source":"PubMed","abstract":"OBJECTIVE: To evaluate the dynamics of bacterial contamination of healthcare workers' (HCWs) hands during neonatal care.\nSETTING: The 20-bed neonatal unit of a large acute care teaching hospital in Geneva, Switzerland.\nMETHODS: Structured observation sessions were conducted. A sequence of care began when the HCW performed hand hygiene and ended when the activity changed or hand hygiene was performed again. Alcohol-based handrub was the standard procedure for hand hygiene. An imprint of the five fingertips of the dominant hand was obtained before and after hand hygiene and at the end of a sequence of care. Regression methods were used to model the final bacterial count according to the type and duration of care and the use of gloves.\nRESULTS: One hundred forty-nine sequences of care were observed. Commensal skin flora comprised 72.4% of all culture-positive specimens (n = 360). Other microorganisms identified were Enterobacteriaceae (n = 55, 13.8%); Staphylococcus aureus (n = 10, 2.5%); and fungi (n = 7, 1.8%). Skin contact, respiratory care, and diaper change were independently associated with an increased bacterial count; the use of gloves did not fully protect HCWs' hands from bacterial contamination.\nCONCLUSIONS: These data confirm that hands become progressively contaminated with commensal flora and potential pathogens during neonatal care, and identify activities at higher risk for hand contamination. They also reinforce the need for hand hygiene after a sequence of care, before starting a different task, and after glove removal.","DOI":"10.1086/502376","ISSN":"0899-823X","note":"PMID: 15061408","journalAbbreviation":"Infect Control Hosp Epidemiol","language":"eng","author":[{"family":"Pessoa-Silva","given":"Carmem Lúcia"},{"family":"Dharan","given":"Sasi"},{"family":"Hugonnet","given":"Stéphane"},{"family":"Touveneau","given":"Sylvie"},{"family":"Posfay-Barbe","given":"Klara"},{"family":"Pfister","given":"Riccardo"},{"family":"Pittet","given":"Didier"}],"issued":{"date-parts":[["2004",3]]},"PMID":"15061408"}},{"id":882,"uris":["http://zotero.org/users/local/hjvuTSYk/items/P5VPE8BU"],"uri":["http://zotero.org/users/local/hjvuTSYk/items/P5VPE8BU"],"itemData":{"id":882,"type":"article-journal","title":"Assessing the Likelihood of Hand-to-Hand Cross-Transmission of Bacteria: An Experimental Study","container-title":"Infection Control and Hospital Epidemiology","page":"553-558","volume":"38","issue":"5","source":"PubMed","abstract":"BACKGROUND Although the hands of healthcare workers (HCWs) are implicated in most episodes of healthcare-associated infections, the correlation between hand contamination and the likelihood of cross-transmission remains unknown. METHODS We conducted a laboratory-based study involving pairs of HCWs. The hands of a HCW (transmitter) were contaminated with Escherichia coli ATCC 10536 before holding hands with another HCW (host) for 1 minute. Meanwhile, the unheld hand of the transmitter was sampled. Afterward, the host's held hand was also sampled. Each experiment consisted of 4 trials with increasing concentrations of E. coli (103-106 colony-forming units [cfu]/mL). The primary outcome was the likelihood of transmission of at least 1 cfu from transmitter to host. We used a mixed logistic regression model with a random effect on the subject to assess the association between transmission and bacterial count on the transmitter's hands. RESULTS In total, 6 HCWs performed 30 experiments and 120 trials. The bacterial counts recovered from host hands were directly associated with the bacterial counts on transmitter hands (P1 and ≤3 log10 cfu compared to ≤1 log10. When transmitter contamination was &lt;1 log10 cfu, no cross-transmission was detected. CONCLUSION There is a direct relationship between the bacterial burden on HCWs hands and the likelihood of cross-transmission. Under the described conditions, at least 1 log10 cfu must be present on HCW hands to be potentially transmitted. Further studies are needed at the low contamination range. Infect Control Hosp Epidemiol 2017;38:553-558.","DOI":"10.1017/ice.2017.9","ISSN":"1559-6834","note":"PMID: 28222829","shortTitle":"Assessing the Likelihood of Hand-to-Hand Cross-Transmission of Bacteria","journalAbbreviation":"Infect Control Hosp Epidemiol","language":"eng","author":[{"family":"Bellissimo-Rodrigues","given":"Fernando"},{"family":"Pires","given":"Daniela"},{"family":"Soule","given":"Hervé"},{"family":"Gayet-Ageron","given":"Angèle"},{"family":"Pittet","given":"Didier"}],"issued":{"date-parts":[["2017"]]},"PMID":"28222829"}}],"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[4,5]</w:t>
            </w:r>
            <w:r w:rsidRPr="00C54618">
              <w:rPr>
                <w:rFonts w:ascii="Times New Roman" w:hAnsi="Times New Roman" w:cs="Times New Roman"/>
                <w:sz w:val="16"/>
                <w:szCs w:val="16"/>
                <w:lang w:val="en-GB"/>
              </w:rPr>
              <w:fldChar w:fldCharType="end"/>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05- 0</w:t>
            </w:r>
            <w:r w:rsidR="002C7656">
              <w:rPr>
                <w:rFonts w:ascii="Times New Roman" w:hAnsi="Times New Roman" w:cs="Times New Roman"/>
                <w:sz w:val="16"/>
                <w:szCs w:val="16"/>
                <w:lang w:val="en-GB"/>
              </w:rPr>
              <w:t>.</w:t>
            </w:r>
            <w:r w:rsidR="00EE68D1" w:rsidRPr="00C54618">
              <w:rPr>
                <w:rFonts w:ascii="Times New Roman" w:hAnsi="Times New Roman" w:cs="Times New Roman"/>
                <w:sz w:val="16"/>
                <w:szCs w:val="16"/>
                <w:lang w:val="en-GB"/>
              </w:rPr>
              <w:t>3</w:t>
            </w:r>
            <w:r w:rsidRPr="00C54618">
              <w:rPr>
                <w:rFonts w:ascii="Times New Roman" w:hAnsi="Times New Roman" w:cs="Times New Roman"/>
                <w:sz w:val="16"/>
                <w:szCs w:val="16"/>
                <w:lang w:val="en-GB"/>
              </w:rPr>
              <w:t>5</w:t>
            </w:r>
            <w:r w:rsidR="00EE68D1"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krf73ywx","properties":{"formattedCitation":"[4,5]","plainCitation":"[4,5]"},"citationItems":[{"id":878,"uris":["http://zotero.org/users/local/hjvuTSYk/items/VGHAEANS"],"uri":["http://zotero.org/users/local/hjvuTSYk/items/VGHAEANS"],"itemData":{"id":878,"type":"article-journal","title":"Dynamics of bacterial hand contamination during routine neonatal care","container-title":"Infection Control and Hospital Epidemiology","page":"192-197","volume":"25","issue":"3","source":"PubMed","abstract":"OBJECTIVE: To evaluate the dynamics of bacterial contamination of healthcare workers' (HCWs) hands during neonatal care.\nSETTING: The 20-bed neonatal unit of a large acute care teaching hospital in Geneva, Switzerland.\nMETHODS: Structured observation sessions were conducted. A sequence of care began when the HCW performed hand hygiene and ended when the activity changed or hand hygiene was performed again. Alcohol-based handrub was the standard procedure for hand hygiene. An imprint of the five fingertips of the dominant hand was obtained before and after hand hygiene and at the end of a sequence of care. Regression methods were used to model the final bacterial count according to the type and duration of care and the use of gloves.\nRESULTS: One hundred forty-nine sequences of care were observed. Commensal skin flora comprised 72.4% of all culture-positive specimens (n = 360). Other microorganisms identified were Enterobacteriaceae (n = 55, 13.8%); Staphylococcus aureus (n = 10, 2.5%); and fungi (n = 7, 1.8%). Skin contact, respiratory care, and diaper change were independently associated with an increased bacterial count; the use of gloves did not fully protect HCWs' hands from bacterial contamination.\nCONCLUSIONS: These data confirm that hands become progressively contaminated with commensal flora and potential pathogens during neonatal care, and identify activities at higher risk for hand contamination. They also reinforce the need for hand hygiene after a sequence of care, before starting a different task, and after glove removal.","DOI":"10.1086/502376","ISSN":"0899-823X","note":"PMID: 15061408","journalAbbreviation":"Infect Control Hosp Epidemiol","language":"eng","author":[{"family":"Pessoa-Silva","given":"Carmem Lúcia"},{"family":"Dharan","given":"Sasi"},{"family":"Hugonnet","given":"Stéphane"},{"family":"Touveneau","given":"Sylvie"},{"family":"Posfay-Barbe","given":"Klara"},{"family":"Pfister","given":"Riccardo"},{"family":"Pittet","given":"Didier"}],"issued":{"date-parts":[["2004",3]]},"PMID":"15061408"}},{"id":882,"uris":["http://zotero.org/users/local/hjvuTSYk/items/P5VPE8BU"],"uri":["http://zotero.org/users/local/hjvuTSYk/items/P5VPE8BU"],"itemData":{"id":882,"type":"article-journal","title":"Assessing the Likelihood of Hand-to-Hand Cross-Transmission of Bacteria: An Experimental Study","container-title":"Infection Control and Hospital Epidemiology","page":"553-558","volume":"38","issue":"5","source":"PubMed","abstract":"BACKGROUND Although the hands of healthcare workers (HCWs) are implicated in most episodes of healthcare-associated infections, the correlation between hand contamination and the likelihood of cross-transmission remains unknown. METHODS We conducted a laboratory-based study involving pairs of HCWs. The hands of a HCW (transmitter) were contaminated with Escherichia coli ATCC 10536 before holding hands with another HCW (host) for 1 minute. Meanwhile, the unheld hand of the transmitter was sampled. Afterward, the host's held hand was also sampled. Each experiment consisted of 4 trials with increasing concentrations of E. coli (103-106 colony-forming units [cfu]/mL). The primary outcome was the likelihood of transmission of at least 1 cfu from transmitter to host. We used a mixed logistic regression model with a random effect on the subject to assess the association between transmission and bacterial count on the transmitter's hands. RESULTS In total, 6 HCWs performed 30 experiments and 120 trials. The bacterial counts recovered from host hands were directly associated with the bacterial counts on transmitter hands (P1 and ≤3 log10 cfu compared to ≤1 log10. When transmitter contamination was &lt;1 log10 cfu, no cross-transmission was detected. CONCLUSION There is a direct relationship between the bacterial burden on HCWs hands and the likelihood of cross-transmission. Under the described conditions, at least 1 log10 cfu must be present on HCW hands to be potentially transmitted. Further studies are needed at the low contamination range. Infect Control Hosp Epidemiol 2017;38:553-558.","DOI":"10.1017/ice.2017.9","ISSN":"1559-6834","note":"PMID: 28222829","shortTitle":"Assessing the Likelihood of Hand-to-Hand Cross-Transmission of Bacteria","journalAbbreviation":"Infect Control Hosp Epidemiol","language":"eng","author":[{"family":"Bellissimo-Rodrigues","given":"Fernando"},{"family":"Pires","given":"Daniela"},{"family":"Soule","given":"Hervé"},{"family":"Gayet-Ageron","given":"Angèle"},{"family":"Pittet","given":"Didier"}],"issued":{"date-parts":[["2017"]]},"PMID":"28222829"}}],"schema":"https://github.com/citation-style-language/schema/raw/master/csl-citation.json"} </w:instrText>
            </w:r>
            <w:r w:rsidR="00EE68D1"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[4,5]</w:t>
            </w:r>
            <w:r w:rsidR="00EE68D1" w:rsidRPr="00C54618">
              <w:rPr>
                <w:rFonts w:ascii="Times New Roman" w:hAnsi="Times New Roman" w:cs="Times New Roman"/>
                <w:sz w:val="16"/>
                <w:szCs w:val="16"/>
                <w:lang w:val="en-GB"/>
              </w:rPr>
              <w:fldChar w:fldCharType="end"/>
            </w:r>
          </w:p>
        </w:tc>
      </w:tr>
      <w:tr w:rsidR="00DC431D" w:rsidRPr="00D54669"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lastRenderedPageBreak/>
              <w:t>d</w:t>
            </w:r>
            <w:r w:rsidRPr="00C54618">
              <w:rPr>
                <w:rFonts w:ascii="Times New Roman" w:hAnsi="Times New Roman" w:cs="Times New Roman"/>
                <w:i/>
                <w:sz w:val="16"/>
                <w:szCs w:val="16"/>
                <w:vertAlign w:val="subscript"/>
                <w:lang w:val="en-GB"/>
              </w:rPr>
              <w:t>cont</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Duration of contamination (independent of HH)(hours)</w:t>
            </w:r>
          </w:p>
          <w:p w:rsidR="00DC431D" w:rsidRPr="00C54618" w:rsidRDefault="00DC431D" w:rsidP="00DC431D">
            <w:pPr>
              <w:jc w:val="both"/>
              <w:rPr>
                <w:rFonts w:ascii="Times New Roman" w:hAnsi="Times New Roman" w:cs="Times New Roman"/>
                <w:sz w:val="16"/>
                <w:szCs w:val="16"/>
                <w:lang w:val="en-GB"/>
              </w:rPr>
            </w:pPr>
          </w:p>
          <w:p w:rsidR="00DC431D" w:rsidRPr="00C54618" w:rsidRDefault="00DC431D" w:rsidP="00DC431D">
            <w:pPr>
              <w:jc w:val="both"/>
              <w:rPr>
                <w:rFonts w:ascii="Times New Roman" w:hAnsi="Times New Roman" w:cs="Times New Roman"/>
                <w:sz w:val="16"/>
                <w:szCs w:val="16"/>
                <w:lang w:val="en-GB"/>
              </w:rPr>
            </w:pPr>
          </w:p>
          <w:p w:rsidR="00DC431D" w:rsidRPr="00C54618" w:rsidRDefault="00DC431D" w:rsidP="00DC431D">
            <w:pPr>
              <w:jc w:val="both"/>
              <w:rPr>
                <w:rFonts w:ascii="Times New Roman" w:hAnsi="Times New Roman" w:cs="Times New Roman"/>
                <w:sz w:val="16"/>
                <w:szCs w:val="16"/>
                <w:lang w:val="en-GB"/>
              </w:rPr>
            </w:pP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24 </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zgepjRJE","properties":{"formattedCitation":"[6]","plainCitation":"[6]"},"citationItems":[{"id":884,"uris":["http://zotero.org/users/local/hjvuTSYk/items/TUIQF9RH"],"uri":["http://zotero.org/users/local/hjvuTSYk/items/TUIQF9RH"],"itemData":{"id":884,"type":"article-journal","title":"The survival and transfer of microbial contamination via cloths, hands and utensils","container-title":"The Journal of Applied Bacteriology","page":"271-278","volume":"68","issue":"3","source":"PubMed","abstract":"Survival and transfer of bacteria from laminated surfaces and cleaning cloths were investigated under laboratory conditions. Drying produced substantial reductions in numbers of recoverable organisms and achieved satisfactory decontamination of clean laminate surfaces. On soiled surfaces and on clean and soiled cloths, Gram-positive and some Gram-negative species survived for up to 4 h, and in some cases up to 24 h. Where contaminated surfaces or cloths came into contact with the fingers, a stainless steel bowl, or a clean laminate surface, organisms were transferred in sufficient numbers to represent a potential hazard if in contact with food.","DOI":"10.1111/j.1365-2672.1990.tb02574.x","ISSN":"0021-8847","note":"PMID: 2111304","journalAbbreviation":"J. Appl. Bacteriol.","language":"eng","author":[{"family":"Scott","given":"E."},{"family":"Bloomfield","given":"S. F."}],"issued":{"date-parts":[["1990",3]]},"PMID":"2111304"}}],"schema":"https://github.com/citation-style-language/schema/raw/master/csl-citation.json"}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[6]</w:t>
            </w:r>
            <w:r w:rsidRPr="00C54618">
              <w:rPr>
                <w:rFonts w:ascii="Times New Roman" w:hAnsi="Times New Roman" w:cs="Times New Roman"/>
                <w:sz w:val="16"/>
                <w:szCs w:val="16"/>
                <w:lang w:val="en-GB"/>
              </w:rPr>
              <w:fldChar w:fldCharType="end"/>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1-24</w:t>
            </w:r>
            <w:r w:rsidR="006841E4"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say90Nam","properties":{"formattedCitation":"[6]","plainCitation":"[6]"},"citationItems":[{"id":884,"uris":["http://zotero.org/users/local/hjvuTSYk/items/TUIQF9RH"],"uri":["http://zotero.org/users/local/hjvuTSYk/items/TUIQF9RH"],"itemData":{"id":884,"type":"article-journal","title":"The survival and transfer of microbial contamination via cloths, hands and utensils","container-title":"The Journal of Applied Bacteriology","page":"271-278","volume":"68","issue":"3","source":"PubMed","abstract":"Survival and transfer of bacteria from laminated surfaces and cleaning cloths were investigated under laboratory conditions. Drying produced substantial reductions in numbers of recoverable organisms and achieved satisfactory decontamination of clean laminate surfaces. On soiled surfaces and on clean and soiled cloths, Gram-positive and some Gram-negative species survived for up to 4 h, and in some cases up to 24 h. Where contaminated surfaces or cloths came into contact with the fingers, a stainless steel bowl, or a clean laminate surface, organisms were transferred in sufficient numbers to represent a potential hazard if in contact with food.","DOI":"10.1111/j.1365-2672.1990.tb02574.x","ISSN":"0021-8847","note":"PMID: 2111304","journalAbbreviation":"J. Appl. Bacteriol.","language":"eng","author":[{"family":"Scott","given":"E."},{"family":"Bloomfield","given":"S. F."}],"issued":{"date-parts":[["1990",3]]},"PMID":"2111304"}}],"schema":"https://github.com/citation-style-language/schema/raw/master/csl-citation.json"} </w:instrText>
            </w:r>
            <w:r w:rsidR="006841E4"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[6]</w:t>
            </w:r>
            <w:r w:rsidR="006841E4" w:rsidRPr="00C54618">
              <w:rPr>
                <w:rFonts w:ascii="Times New Roman" w:hAnsi="Times New Roman" w:cs="Times New Roman"/>
                <w:sz w:val="16"/>
                <w:szCs w:val="16"/>
                <w:lang w:val="en-GB"/>
              </w:rPr>
              <w:fldChar w:fldCharType="end"/>
            </w:r>
          </w:p>
        </w:tc>
      </w:tr>
      <w:tr w:rsidR="00DC431D" w:rsidRPr="00D54669"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i/>
                <w:sz w:val="16"/>
                <w:szCs w:val="16"/>
                <w:lang w:val="en-GB"/>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b/>
                <w:sz w:val="16"/>
                <w:szCs w:val="16"/>
                <w:lang w:val="en-GB"/>
              </w:rPr>
              <w:t>Contamination by changing diapers</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D54669"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p</w:t>
            </w:r>
            <w:r w:rsidRPr="00C54618">
              <w:rPr>
                <w:rFonts w:ascii="Times New Roman" w:hAnsi="Times New Roman" w:cs="Times New Roman"/>
                <w:i/>
                <w:sz w:val="16"/>
                <w:szCs w:val="16"/>
                <w:vertAlign w:val="subscript"/>
                <w:lang w:val="en-GB"/>
              </w:rPr>
              <w:t>cont,d</w:t>
            </w:r>
            <w:proofErr w:type="spellEnd"/>
          </w:p>
        </w:tc>
        <w:tc>
          <w:tcPr>
            <w:tcW w:w="3865" w:type="dxa"/>
          </w:tcPr>
          <w:p w:rsidR="00DC431D" w:rsidRPr="00C54618" w:rsidRDefault="00DC431D" w:rsidP="00DC431D">
            <w:pPr>
              <w:jc w:val="both"/>
              <w:rPr>
                <w:rFonts w:ascii="Times New Roman" w:hAnsi="Times New Roman" w:cs="Times New Roman"/>
                <w:b/>
                <w:sz w:val="16"/>
                <w:szCs w:val="16"/>
                <w:lang w:val="en-GB"/>
              </w:rPr>
            </w:pPr>
            <w:r w:rsidRPr="00C54618">
              <w:rPr>
                <w:rFonts w:ascii="Times New Roman" w:hAnsi="Times New Roman" w:cs="Times New Roman"/>
                <w:sz w:val="16"/>
                <w:szCs w:val="16"/>
                <w:lang w:val="en-GB"/>
              </w:rPr>
              <w:t>Probability of hand contamination during changing diapers of a colonized baby not receiving antibiotics (per change)</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t>Assumed 3 times higher than during person-to-person contact</w:t>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001F746A" w:rsidRPr="00C54618">
              <w:rPr>
                <w:rFonts w:ascii="Times New Roman" w:hAnsi="Times New Roman" w:cs="Times New Roman"/>
                <w:sz w:val="16"/>
                <w:szCs w:val="16"/>
                <w:lang w:val="en-GB"/>
              </w:rPr>
              <w:t xml:space="preserve">1-1 </w:t>
            </w:r>
            <w:r w:rsidR="001F746A"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gdbgj0m3s","properties":{"formattedCitation":"[7]","plainCitation":"[7]"},"citationItems":[{"id":650,"uris":["http://zotero.org/users/local/hjvuTSYk/items/FXH3KQTA"],"uri":["http://zotero.org/users/local/hjvuTSYk/items/FXH3KQTA"],"itemData":{"id":650,"type":"article-journal","title":"Quantitative assessment of risk reduction from hand washing with antibacterial soaps","container-title":"Journal of Applied Microbiology","page":"136S-43S","volume":"92 Suppl","source":"PubMed","abstract":"The Centers for Disease Control and Prevention have estimated that there are 3,713,000 cases of infectious disease associated with day care facilities each year. The objective of this study was to examine the risk reduction achieved from using different soap formulations after diaper changing using a microbial quantitative risk assessment approach. To achieve this, a probability of infection model and an exposure assessment based on micro-organism transfer were used to evaluate the efficacy of different soap formulations in reducing the probability of disease following hand contact with an enteric pathogen. Based on this model, it was determined that the probability of infection ranged from 24/100 to 91/100 for those changing diapers of babies with symptomatic shigellosis who used a control product (soap without an antibacterial ingredient), 22/100 to 91/100 for those who used an antibacterial soap (chlorohexadine 4%), and 15/100 to 90/100 for those who used a triclosan (1.5%) antibacterial soap. Those with asymptomatic shigellosis who used a non-antibacterial control soap had a risk between 49/100,000 and 53/100, those who used the 4% chlorohexadine-containing soap had a risk between 43/100,000 and 51/100, and for those who used a 1.5% triclosan soap had a risk between 21/100,000 and 43/100. The adequate washing of hands after diapering reduces risk and can be further reduced by a factor of 20% by the use of an antibacterial soap. Quantitative risk assessment is a valuable tool in the evaluation of household sanitizing agents and low risk outcomes.","ISSN":"1364-5072","note":"PMID: 12000622","journalAbbreviation":"J. Appl. Microbiol.","language":"eng","author":[{"family":"Gibson","given":"L. L."},{"family":"Rose","given":"J. B."},{"family":"Haas","given":"C. N."},{"family":"Gerba","given":"C. P."},{"family":"Rusin","given":"P. A."}],"issued":{"date-parts":[["2002"]]},"PMID":"12000622"}}],"schema":"https://github.com/citation-style-language/schema/raw/master/csl-citation.json"} </w:instrText>
            </w:r>
            <w:r w:rsidR="001F746A"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[7]</w:t>
            </w:r>
            <w:r w:rsidR="001F746A" w:rsidRPr="00C54618">
              <w:rPr>
                <w:rFonts w:ascii="Times New Roman" w:hAnsi="Times New Roman" w:cs="Times New Roman"/>
                <w:sz w:val="16"/>
                <w:szCs w:val="16"/>
                <w:lang w:val="en-GB"/>
              </w:rPr>
              <w:fldChar w:fldCharType="end"/>
            </w: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rr</w:t>
            </w:r>
            <w:r w:rsidRPr="00C54618">
              <w:rPr>
                <w:rFonts w:ascii="Times New Roman" w:hAnsi="Times New Roman" w:cs="Times New Roman"/>
                <w:i/>
                <w:sz w:val="16"/>
                <w:szCs w:val="16"/>
                <w:vertAlign w:val="subscript"/>
                <w:lang w:val="en-GB"/>
              </w:rPr>
              <w:t>cont</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Relative risk of hand contamination during changing diapers from a colonized baby receiving antibiotics</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3 </w:t>
            </w:r>
          </w:p>
        </w:tc>
        <w:tc>
          <w:tcPr>
            <w:tcW w:w="1354" w:type="dxa"/>
          </w:tcPr>
          <w:p w:rsidR="00DC431D" w:rsidRPr="00C54618" w:rsidRDefault="007C16C9" w:rsidP="007C16C9">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2nt5siah5n","properties":{"formattedCitation":"[8,9]","plainCitation":"[8,9]"},"citationItems":[{"id":648,"uris":["http://zotero.org/users/local/hjvuTSYk/items/W5U52C8K"],"uri":["http://zotero.org/users/local/hjvuTSYk/items/W5U52C8K"],"itemData":{"id":648,"type":"article-journal","title":"Effect of antibiotics on the bacterial load of meticillin-resistant Staphylococcus aureus colonisation in anterior nares","container-title":"The Journal of Hospital Infection","page":"27-34","volume":"70","issue":"1","source":"PubMed","abstract":"Prevalence of hospital-acquired meticillin-resistant Staphylococcus aureus (MRSA) infection or colonisation has been associated with antimicrobial consumption. The impact of antibiotic treatment on nasal colonisation is unknown. We conducted a three-month prospective study of 116 patients with extranasal MRSA infection or colonisation, whose nasal MRSA bacterial loads were determined during and after various antibiotic courses over a period of three weeks. Environmental swabs were also taken from the near patient environment. Concomitant nasal MRSA carriage was observed in 76.7% of extranasal MRSA-colonised or -infected patients. The median nasal MRSA bacterial load increased significantly from 2.78 (range 0-6.15) to 5.30 (range 2.90-8.41) log(10) cfu per swab (cfu/swab) (P&lt;0.001) over 21 days during beta-lactam therapy. It also increased from 0 (range 0-4.00) to 4.30 (range 0-7.46) log(10)cfu/swab (P=0.039) over 14 days during fluoroquinolone therapy. Median bacterial loads were significantly higher for beta-lactam- and fluoroquinolone-treated patients on day 7 [4.78, range 0-7.30], day 14 [4.30, range 0-7.60] and day 21 [5.30, range 2.90-8.41] than controls not receiving antibiotics (P&lt;0.05). These loads then decreased by 2-5log(10)cfu/swab 2 weeks after discontinuation of antibiotics. The environment of patients receiving beta-lactam agents (relative risk: 3.55; 95% confidence interval: 1.30-9.62; P=0.018) or fluoroquinolones (4.32; 1.52-12.31; P=0.008) demonstrated more MRSA contamination than the environment around control patients (0.79; 0.67-0.93; P=0.002). Patients on beta-lactam or fluoroquinolone therapy have increased incidence of MRSA colonisation and higher nasal bacterial loads, and appear to spread their MRSA into the near patient environment.","DOI":"10.1016/j.jhin.2008.05.019","ISSN":"0195-6701","note":"PMID: 18632184","journalAbbreviation":"J. Hosp. Infect.","language":"eng","author":[{"family":"Cheng","given":"V. C. C."},{"family":"Li","given":"I. W. S."},{"family":"Wu","given":"A. K. L."},{"family":"Tang","given":"B. S. F."},{"family":"Ng","given":"K. H. L."},{"family":"To","given":"K. K. W."},{"family":"Tse","given":"H."},{"family":"Que","given":"T. L."},{"family":"Ho","given":"P. L."},{"family":"Yuen","given":"K. Y."}],"issued":{"date-parts":[["2008",9]]},"PMID":"18632184"}},{"id":902,"uris":["http://zotero.org/users/local/hjvuTSYk/items/C8Q6IIFH"],"uri":["http://zotero.org/users/local/hjvuTSYk/items/C8Q6IIFH"],"itemData":{"id":902,"type":"article-journal","title":"Colonization pressure adjusted by degree of environmental contamination: A better indicator for predicting methicillin-resistant Staphylococcus aureus acquisition","container-title":"American Journal of Infection Control","page":"763-769","volume":"39","issue":"9","source":"Crossref","DOI":"10.1016/j.ajic.2010.11.012","ISSN":"01966553","shortTitle":"Colonization pressure adjusted by degree of environmental contamination","language":"en","author":[{"family":"Wang","given":"Junrui"},{"family":"Wang","given":"Mei"},{"family":"Huang","given":"Yanfei"},{"family":"Zhu","given":"Min"},{"family":"Wang","given":"Yong"},{"family":"Zhuo","given":"Jie"},{"family":"Lu","given":"Xinxin"}],"issued":{"date-parts":[["2011",11]]}}}],"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[8,9]</w:t>
            </w:r>
            <w:r w:rsidRPr="00C54618">
              <w:rPr>
                <w:rFonts w:ascii="Times New Roman" w:hAnsi="Times New Roman" w:cs="Times New Roman"/>
                <w:sz w:val="16"/>
                <w:szCs w:val="16"/>
                <w:lang w:val="en-GB"/>
              </w:rPr>
              <w:fldChar w:fldCharType="end"/>
            </w:r>
          </w:p>
        </w:tc>
        <w:tc>
          <w:tcPr>
            <w:tcW w:w="2544" w:type="dxa"/>
          </w:tcPr>
          <w:p w:rsidR="00D632A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w:t>
            </w:r>
            <w:r w:rsidR="00543793" w:rsidRPr="00C54618">
              <w:rPr>
                <w:rFonts w:ascii="Times New Roman" w:hAnsi="Times New Roman" w:cs="Times New Roman"/>
                <w:sz w:val="16"/>
                <w:szCs w:val="16"/>
                <w:lang w:val="en-GB"/>
              </w:rPr>
              <w:t>9</w:t>
            </w:r>
            <w:r w:rsidR="00D632AD"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khWBNJyI","properties":{"formattedCitation":"[8,9]","plainCitation":"[8,9]"},"citationItems":[{"id":648,"uris":["http://zotero.org/users/local/hjvuTSYk/items/W5U52C8K"],"uri":["http://zotero.org/users/local/hjvuTSYk/items/W5U52C8K"],"itemData":{"id":648,"type":"article-journal","title":"Effect of antibiotics on the bacterial load of meticillin-resistant Staphylococcus aureus colonisation in anterior nares","container-title":"The Journal of Hospital Infection","page":"27-34","volume":"70","issue":"1","source":"PubMed","abstract":"Prevalence of hospital-acquired meticillin-resistant Staphylococcus aureus (MRSA) infection or colonisation has been associated with antimicrobial consumption. The impact of antibiotic treatment on nasal colonisation is unknown. We conducted a three-month prospective study of 116 patients with extranasal MRSA infection or colonisation, whose nasal MRSA bacterial loads were determined during and after various antibiotic courses over a period of three weeks. Environmental swabs were also taken from the near patient environment. Concomitant nasal MRSA carriage was observed in 76.7% of extranasal MRSA-colonised or -infected patients. The median nasal MRSA bacterial load increased significantly from 2.78 (range 0-6.15) to 5.30 (range 2.90-8.41) log(10) cfu per swab (cfu/swab) (P&lt;0.001) over 21 days during beta-lactam therapy. It also increased from 0 (range 0-4.00) to 4.30 (range 0-7.46) log(10)cfu/swab (P=0.039) over 14 days during fluoroquinolone therapy. Median bacterial loads were significantly higher for beta-lactam- and fluoroquinolone-treated patients on day 7 [4.78, range 0-7.30], day 14 [4.30, range 0-7.60] and day 21 [5.30, range 2.90-8.41] than controls not receiving antibiotics (P&lt;0.05). These loads then decreased by 2-5log(10)cfu/swab 2 weeks after discontinuation of antibiotics. The environment of patients receiving beta-lactam agents (relative risk: 3.55; 95% confidence interval: 1.30-9.62; P=0.018) or fluoroquinolones (4.32; 1.52-12.31; P=0.008) demonstrated more MRSA contamination than the environment around control patients (0.79; 0.67-0.93; P=0.002). Patients on beta-lactam or fluoroquinolone therapy have increased incidence of MRSA colonisation and higher nasal bacterial loads, and appear to spread their MRSA into the near patient environment.","DOI":"10.1016/j.jhin.2008.05.019","ISSN":"0195-6701","note":"PMID: 18632184","journalAbbreviation":"J. Hosp. Infect.","language":"eng","author":[{"family":"Cheng","given":"V. C. C."},{"family":"Li","given":"I. W. S."},{"family":"Wu","given":"A. K. L."},{"family":"Tang","given":"B. S. F."},{"family":"Ng","given":"K. H. L."},{"family":"To","given":"K. K. W."},{"family":"Tse","given":"H."},{"family":"Que","given":"T. L."},{"family":"Ho","given":"P. L."},{"family":"Yuen","given":"K. Y."}],"issued":{"date-parts":[["2008",9]]},"PMID":"18632184"}},{"id":902,"uris":["http://zotero.org/users/local/hjvuTSYk/items/C8Q6IIFH"],"uri":["http://zotero.org/users/local/hjvuTSYk/items/C8Q6IIFH"],"itemData":{"id":902,"type":"article-journal","title":"Colonization pressure adjusted by degree of environmental contamination: A better indicator for predicting methicillin-resistant Staphylococcus aureus acquisition","container-title":"American Journal of Infection Control","page":"763-769","volume":"39","issue":"9","source":"Crossref","DOI":"10.1016/j.ajic.2010.11.012","ISSN":"01966553","shortTitle":"Colonization pressure adjusted by degree of environmental contamination","language":"en","author":[{"family":"Wang","given":"Junrui"},{"family":"Wang","given":"Mei"},{"family":"Huang","given":"Yanfei"},{"family":"Zhu","given":"Min"},{"family":"Wang","given":"Yong"},{"family":"Zhuo","given":"Jie"},{"family":"Lu","given":"Xinxin"}],"issued":{"date-parts":[["2011",11]]}}}],"schema":"https://github.com/citation-style-language/schema/raw/master/csl-citation.json"} </w:instrText>
            </w:r>
            <w:r w:rsidR="00D632AD"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lang w:val="en-US"/>
              </w:rPr>
              <w:t>[8,9]</w:t>
            </w:r>
            <w:r w:rsidR="00D632AD" w:rsidRPr="00C54618">
              <w:rPr>
                <w:rFonts w:ascii="Times New Roman" w:hAnsi="Times New Roman" w:cs="Times New Roman"/>
                <w:sz w:val="16"/>
                <w:szCs w:val="16"/>
                <w:lang w:val="en-GB"/>
              </w:rPr>
              <w:fldChar w:fldCharType="end"/>
            </w:r>
          </w:p>
          <w:p w:rsidR="00955B36" w:rsidRPr="00C54618" w:rsidRDefault="00955B36" w:rsidP="00904291">
            <w:pPr>
              <w:jc w:val="center"/>
              <w:rPr>
                <w:rFonts w:ascii="Times New Roman" w:hAnsi="Times New Roman" w:cs="Times New Roman"/>
                <w:sz w:val="16"/>
                <w:szCs w:val="16"/>
                <w:lang w:val="en-GB"/>
              </w:rPr>
            </w:pPr>
          </w:p>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i/>
                <w:sz w:val="16"/>
                <w:szCs w:val="16"/>
                <w:lang w:val="en-GB"/>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 xml:space="preserve">Contamination by using </w:t>
            </w:r>
            <w:r w:rsidR="00A273F2" w:rsidRPr="00C54618">
              <w:rPr>
                <w:rFonts w:ascii="Times New Roman" w:hAnsi="Times New Roman" w:cs="Times New Roman"/>
                <w:b/>
                <w:sz w:val="16"/>
                <w:szCs w:val="16"/>
                <w:lang w:val="en-GB"/>
              </w:rPr>
              <w:t xml:space="preserve">the </w:t>
            </w:r>
            <w:r w:rsidRPr="00C54618">
              <w:rPr>
                <w:rFonts w:ascii="Times New Roman" w:hAnsi="Times New Roman" w:cs="Times New Roman"/>
                <w:b/>
                <w:sz w:val="16"/>
                <w:szCs w:val="16"/>
                <w:lang w:val="en-GB"/>
              </w:rPr>
              <w:t>toilet</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p</w:t>
            </w:r>
            <w:r w:rsidRPr="00C54618">
              <w:rPr>
                <w:rFonts w:ascii="Times New Roman" w:hAnsi="Times New Roman" w:cs="Times New Roman"/>
                <w:i/>
                <w:sz w:val="16"/>
                <w:szCs w:val="16"/>
                <w:vertAlign w:val="subscript"/>
                <w:lang w:val="en-GB"/>
              </w:rPr>
              <w:t>cont,t</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Probability of hand contami</w:t>
            </w:r>
            <w:r w:rsidR="00A273F2" w:rsidRPr="00C54618">
              <w:rPr>
                <w:rFonts w:ascii="Times New Roman" w:hAnsi="Times New Roman" w:cs="Times New Roman"/>
                <w:sz w:val="16"/>
                <w:szCs w:val="16"/>
                <w:lang w:val="en-GB"/>
              </w:rPr>
              <w:t xml:space="preserve">nation after using the toilet </w:t>
            </w:r>
            <w:r w:rsidRPr="00C54618">
              <w:rPr>
                <w:rFonts w:ascii="Times New Roman" w:hAnsi="Times New Roman" w:cs="Times New Roman"/>
                <w:sz w:val="16"/>
                <w:szCs w:val="16"/>
                <w:lang w:val="en-GB"/>
              </w:rPr>
              <w:t xml:space="preserve">by a colonized person not receiving antibiotics (per toilet use) </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 xml:space="preserve">1 </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9S6D3PSz","properties":{"formattedCitation":"[4,5]","plainCitation":"[4,5]"},"citationItems":[{"id":878,"uris":["http://zotero.org/users/local/hjvuTSYk/items/VGHAEANS"],"uri":["http://zotero.org/users/local/hjvuTSYk/items/VGHAEANS"],"itemData":{"id":878,"type":"article-journal","title":"Dynamics of bacterial hand contamination during routine neonatal care","container-title":"Infection Control and Hospital Epidemiology","page":"192-197","volume":"25","issue":"3","source":"PubMed","abstract":"OBJECTIVE: To evaluate the dynamics of bacterial contamination of healthcare workers' (HCWs) hands during neonatal care.\nSETTING: The 20-bed neonatal unit of a large acute care teaching hospital in Geneva, Switzerland.\nMETHODS: Structured observation sessions were conducted. A sequence of care began when the HCW performed hand hygiene and ended when the activity changed or hand hygiene was performed again. Alcohol-based handrub was the standard procedure for hand hygiene. An imprint of the five fingertips of the dominant hand was obtained before and after hand hygiene and at the end of a sequence of care. Regression methods were used to model the final bacterial count according to the type and duration of care and the use of gloves.\nRESULTS: One hundred forty-nine sequences of care were observed. Commensal skin flora comprised 72.4% of all culture-positive specimens (n = 360). Other microorganisms identified were Enterobacteriaceae (n = 55, 13.8%); Staphylococcus aureus (n = 10, 2.5%); and fungi (n = 7, 1.8%). Skin contact, respiratory care, and diaper change were independently associated with an increased bacterial count; the use of gloves did not fully protect HCWs' hands from bacterial contamination.\nCONCLUSIONS: These data confirm that hands become progressively contaminated with commensal flora and potential pathogens during neonatal care, and identify activities at higher risk for hand contamination. They also reinforce the need for hand hygiene after a sequence of care, before starting a different task, and after glove removal.","DOI":"10.1086/502376","ISSN":"0899-823X","note":"PMID: 15061408","journalAbbreviation":"Infect Control Hosp Epidemiol","language":"eng","author":[{"family":"Pessoa-Silva","given":"Carmem Lúcia"},{"family":"Dharan","given":"Sasi"},{"family":"Hugonnet","given":"Stéphane"},{"family":"Touveneau","given":"Sylvie"},{"family":"Posfay-Barbe","given":"Klara"},{"family":"Pfister","given":"Riccardo"},{"family":"Pittet","given":"Didier"}],"issued":{"date-parts":[["2004",3]]},"PMID":"15061408"}},{"id":882,"uris":["http://zotero.org/users/local/hjvuTSYk/items/P5VPE8BU"],"uri":["http://zotero.org/users/local/hjvuTSYk/items/P5VPE8BU"],"itemData":{"id":882,"type":"article-journal","title":"Assessing the Likelihood of Hand-to-Hand Cross-Transmission of Bacteria: An Experimental Study","container-title":"Infection Control and Hospital Epidemiology","page":"553-558","volume":"38","issue":"5","source":"PubMed","abstract":"BACKGROUND Although the hands of healthcare workers (HCWs) are implicated in most episodes of healthcare-associated infections, the correlation between hand contamination and the likelihood of cross-transmission remains unknown. METHODS We conducted a laboratory-based study involving pairs of HCWs. The hands of a HCW (transmitter) were contaminated with Escherichia coli ATCC 10536 before holding hands with another HCW (host) for 1 minute. Meanwhile, the unheld hand of the transmitter was sampled. Afterward, the host's held hand was also sampled. Each experiment consisted of 4 trials with increasing concentrations of E. coli (103-106 colony-forming units [cfu]/mL). The primary outcome was the likelihood of transmission of at least 1 cfu from transmitter to host. We used a mixed logistic regression model with a random effect on the subject to assess the association between transmission and bacterial count on the transmitter's hands. RESULTS In total, 6 HCWs performed 30 experiments and 120 trials. The bacterial counts recovered from host hands were directly associated with the bacterial counts on transmitter hands (P1 and ≤3 log10 cfu compared to ≤1 log10. When transmitter contamination was &lt;1 log10 cfu, no cross-transmission was detected. CONCLUSION There is a direct relationship between the bacterial burden on HCWs hands and the likelihood of cross-transmission. Under the described conditions, at least 1 log10 cfu must be present on HCW hands to be potentially transmitted. Further studies are needed at the low contamination range. Infect Control Hosp Epidemiol 2017;38:553-558.","DOI":"10.1017/ice.2017.9","ISSN":"1559-6834","note":"PMID: 28222829","shortTitle":"Assessing the Likelihood of Hand-to-Hand Cross-Transmission of Bacteria","journalAbbreviation":"Infect Control Hosp Epidemiol","language":"eng","author":[{"family":"Bellissimo-Rodrigues","given":"Fernando"},{"family":"Pires","given":"Daniela"},{"family":"Soule","given":"Hervé"},{"family":"Gayet-Ageron","given":"Angèle"},{"family":"Pittet","given":"Didier"}],"issued":{"date-parts":[["2017"]]},"PMID":"28222829"}}],"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[4,5]</w:t>
            </w:r>
            <w:r w:rsidRPr="00C54618">
              <w:rPr>
                <w:rFonts w:ascii="Times New Roman" w:hAnsi="Times New Roman" w:cs="Times New Roman"/>
                <w:sz w:val="16"/>
                <w:szCs w:val="16"/>
                <w:lang w:val="en-GB"/>
              </w:rPr>
              <w:fldChar w:fldCharType="end"/>
            </w:r>
          </w:p>
        </w:tc>
        <w:tc>
          <w:tcPr>
            <w:tcW w:w="2544" w:type="dxa"/>
          </w:tcPr>
          <w:p w:rsidR="00DC431D" w:rsidRPr="00C54618" w:rsidRDefault="006C7326"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05- 0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35</w:t>
            </w: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xp6vGvZC","properties":{"formattedCitation":"[4,5]","plainCitation":"[4,5]"},"citationItems":[{"id":878,"uris":["http://zotero.org/users/local/hjvuTSYk/items/VGHAEANS"],"uri":["http://zotero.org/users/local/hjvuTSYk/items/VGHAEANS"],"itemData":{"id":878,"type":"article-journal","title":"Dynamics of bacterial hand contamination during routine neonatal care","container-title":"Infection Control and Hospital Epidemiology","page":"192-197","volume":"25","issue":"3","source":"PubMed","abstract":"OBJECTIVE: To evaluate the dynamics of bacterial contamination of healthcare workers' (HCWs) hands during neonatal care.\nSETTING: The 20-bed neonatal unit of a large acute care teaching hospital in Geneva, Switzerland.\nMETHODS: Structured observation sessions were conducted. A sequence of care began when the HCW performed hand hygiene and ended when the activity changed or hand hygiene was performed again. Alcohol-based handrub was the standard procedure for hand hygiene. An imprint of the five fingertips of the dominant hand was obtained before and after hand hygiene and at the end of a sequence of care. Regression methods were used to model the final bacterial count according to the type and duration of care and the use of gloves.\nRESULTS: One hundred forty-nine sequences of care were observed. Commensal skin flora comprised 72.4% of all culture-positive specimens (n = 360). Other microorganisms identified were Enterobacteriaceae (n = 55, 13.8%); Staphylococcus aureus (n = 10, 2.5%); and fungi (n = 7, 1.8%). Skin contact, respiratory care, and diaper change were independently associated with an increased bacterial count; the use of gloves did not fully protect HCWs' hands from bacterial contamination.\nCONCLUSIONS: These data confirm that hands become progressively contaminated with commensal flora and potential pathogens during neonatal care, and identify activities at higher risk for hand contamination. They also reinforce the need for hand hygiene after a sequence of care, before starting a different task, and after glove removal.","DOI":"10.1086/502376","ISSN":"0899-823X","note":"PMID: 15061408","journalAbbreviation":"Infect Control Hosp Epidemiol","language":"eng","author":[{"family":"Pessoa-Silva","given":"Carmem Lúcia"},{"family":"Dharan","given":"Sasi"},{"family":"Hugonnet","given":"Stéphane"},{"family":"Touveneau","given":"Sylvie"},{"family":"Posfay-Barbe","given":"Klara"},{"family":"Pfister","given":"Riccardo"},{"family":"Pittet","given":"Didier"}],"issued":{"date-parts":[["2004",3]]},"PMID":"15061408"}},{"id":882,"uris":["http://zotero.org/users/local/hjvuTSYk/items/P5VPE8BU"],"uri":["http://zotero.org/users/local/hjvuTSYk/items/P5VPE8BU"],"itemData":{"id":882,"type":"article-journal","title":"Assessing the Likelihood of Hand-to-Hand Cross-Transmission of Bacteria: An Experimental Study","container-title":"Infection Control and Hospital Epidemiology","page":"553-558","volume":"38","issue":"5","source":"PubMed","abstract":"BACKGROUND Although the hands of healthcare workers (HCWs) are implicated in most episodes of healthcare-associated infections, the correlation between hand contamination and the likelihood of cross-transmission remains unknown. METHODS We conducted a laboratory-based study involving pairs of HCWs. The hands of a HCW (transmitter) were contaminated with Escherichia coli ATCC 10536 before holding hands with another HCW (host) for 1 minute. Meanwhile, the unheld hand of the transmitter was sampled. Afterward, the host's held hand was also sampled. Each experiment consisted of 4 trials with increasing concentrations of E. coli (103-106 colony-forming units [cfu]/mL). The primary outcome was the likelihood of transmission of at least 1 cfu from transmitter to host. We used a mixed logistic regression model with a random effect on the subject to assess the association between transmission and bacterial count on the transmitter's hands. RESULTS In total, 6 HCWs performed 30 experiments and 120 trials. The bacterial counts recovered from host hands were directly associated with the bacterial counts on transmitter hands (P1 and ≤3 log10 cfu compared to ≤1 log10. When transmitter contamination was &lt;1 log10 cfu, no cross-transmission was detected. CONCLUSION There is a direct relationship between the bacterial burden on HCWs hands and the likelihood of cross-transmission. Under the described conditions, at least 1 log10 cfu must be present on HCW hands to be potentially transmitted. Further studies are needed at the low contamination range. Infect Control Hosp Epidemiol 2017;38:553-558.","DOI":"10.1017/ice.2017.9","ISSN":"1559-6834","note":"PMID: 28222829","shortTitle":"Assessing the Likelihood of Hand-to-Hand Cross-Transmission of Bacteria","journalAbbreviation":"Infect Control Hosp Epidemiol","language":"eng","author":[{"family":"Bellissimo-Rodrigues","given":"Fernando"},{"family":"Pires","given":"Daniela"},{"family":"Soule","given":"Hervé"},{"family":"Gayet-Ageron","given":"Angèle"},{"family":"Pittet","given":"Didier"}],"issued":{"date-parts":[["2017"]]},"PMID":"28222829"}}],"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lang w:val="en-US"/>
              </w:rPr>
              <w:t>[4,5]</w:t>
            </w:r>
            <w:r w:rsidRPr="00C54618">
              <w:rPr>
                <w:rFonts w:ascii="Times New Roman" w:hAnsi="Times New Roman" w:cs="Times New Roman"/>
                <w:sz w:val="16"/>
                <w:szCs w:val="16"/>
                <w:lang w:val="en-GB"/>
              </w:rPr>
              <w:fldChar w:fldCharType="end"/>
            </w: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rr</w:t>
            </w:r>
            <w:r w:rsidRPr="00C54618">
              <w:rPr>
                <w:rFonts w:ascii="Times New Roman" w:hAnsi="Times New Roman" w:cs="Times New Roman"/>
                <w:i/>
                <w:sz w:val="16"/>
                <w:szCs w:val="16"/>
                <w:vertAlign w:val="subscript"/>
                <w:lang w:val="en-GB"/>
              </w:rPr>
              <w:t>cont</w:t>
            </w:r>
            <w:proofErr w:type="spellEnd"/>
          </w:p>
        </w:tc>
        <w:tc>
          <w:tcPr>
            <w:tcW w:w="3865" w:type="dxa"/>
          </w:tcPr>
          <w:p w:rsidR="00DC431D" w:rsidRPr="00C54618" w:rsidRDefault="00DC431D" w:rsidP="00A273F2">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Relative risk of hand contam</w:t>
            </w:r>
            <w:r w:rsidR="00A273F2" w:rsidRPr="00C54618">
              <w:rPr>
                <w:rFonts w:ascii="Times New Roman" w:hAnsi="Times New Roman" w:cs="Times New Roman"/>
                <w:sz w:val="16"/>
                <w:szCs w:val="16"/>
                <w:lang w:val="en-GB"/>
              </w:rPr>
              <w:t>ination after using the toilet</w:t>
            </w:r>
            <w:r w:rsidRPr="00C54618">
              <w:rPr>
                <w:rFonts w:ascii="Times New Roman" w:hAnsi="Times New Roman" w:cs="Times New Roman"/>
                <w:sz w:val="16"/>
                <w:szCs w:val="16"/>
                <w:lang w:val="en-GB"/>
              </w:rPr>
              <w:t xml:space="preserve"> by a colonized person receiving antibiotics</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3 </w:t>
            </w:r>
          </w:p>
        </w:tc>
        <w:tc>
          <w:tcPr>
            <w:tcW w:w="1354" w:type="dxa"/>
          </w:tcPr>
          <w:p w:rsidR="00D632AD" w:rsidRPr="00C54618" w:rsidRDefault="00543793" w:rsidP="00D632A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aaXK0byM","properties":{"formattedCitation":"[8,9]","plainCitation":"[8,9]"},"citationItems":[{"id":648,"uris":["http://zotero.org/users/local/hjvuTSYk/items/W5U52C8K"],"uri":["http://zotero.org/users/local/hjvuTSYk/items/W5U52C8K"],"itemData":{"id":648,"type":"article-journal","title":"Effect of antibiotics on the bacterial load of meticillin-resistant Staphylococcus aureus colonisation in anterior nares","container-title":"The Journal of Hospital Infection","page":"27-34","volume":"70","issue":"1","source":"PubMed","abstract":"Prevalence of hospital-acquired meticillin-resistant Staphylococcus aureus (MRSA) infection or colonisation has been associated with antimicrobial consumption. The impact of antibiotic treatment on nasal colonisation is unknown. We conducted a three-month prospective study of 116 patients with extranasal MRSA infection or colonisation, whose nasal MRSA bacterial loads were determined during and after various antibiotic courses over a period of three weeks. Environmental swabs were also taken from the near patient environment. Concomitant nasal MRSA carriage was observed in 76.7% of extranasal MRSA-colonised or -infected patients. The median nasal MRSA bacterial load increased significantly from 2.78 (range 0-6.15) to 5.30 (range 2.90-8.41) log(10) cfu per swab (cfu/swab) (P&lt;0.001) over 21 days during beta-lactam therapy. It also increased from 0 (range 0-4.00) to 4.30 (range 0-7.46) log(10)cfu/swab (P=0.039) over 14 days during fluoroquinolone therapy. Median bacterial loads were significantly higher for beta-lactam- and fluoroquinolone-treated patients on day 7 [4.78, range 0-7.30], day 14 [4.30, range 0-7.60] and day 21 [5.30, range 2.90-8.41] than controls not receiving antibiotics (P&lt;0.05). These loads then decreased by 2-5log(10)cfu/swab 2 weeks after discontinuation of antibiotics. The environment of patients receiving beta-lactam agents (relative risk: 3.55; 95% confidence interval: 1.30-9.62; P=0.018) or fluoroquinolones (4.32; 1.52-12.31; P=0.008) demonstrated more MRSA contamination than the environment around control patients (0.79; 0.67-0.93; P=0.002). Patients on beta-lactam or fluoroquinolone therapy have increased incidence of MRSA colonisation and higher nasal bacterial loads, and appear to spread their MRSA into the near patient environment.","DOI":"10.1016/j.jhin.2008.05.019","ISSN":"0195-6701","note":"PMID: 18632184","journalAbbreviation":"J. Hosp. Infect.","language":"eng","author":[{"family":"Cheng","given":"V. C. C."},{"family":"Li","given":"I. W. S."},{"family":"Wu","given":"A. K. L."},{"family":"Tang","given":"B. S. F."},{"family":"Ng","given":"K. H. L."},{"family":"To","given":"K. K. W."},{"family":"Tse","given":"H."},{"family":"Que","given":"T. L."},{"family":"Ho","given":"P. L."},{"family":"Yuen","given":"K. Y."}],"issued":{"date-parts":[["2008",9]]},"PMID":"18632184"}},{"id":902,"uris":["http://zotero.org/users/local/hjvuTSYk/items/C8Q6IIFH"],"uri":["http://zotero.org/users/local/hjvuTSYk/items/C8Q6IIFH"],"itemData":{"id":902,"type":"article-journal","title":"Colonization pressure adjusted by degree of environmental contamination: A better indicator for predicting methicillin-resistant Staphylococcus aureus acquisition","container-title":"American Journal of Infection Control","page":"763-769","volume":"39","issue":"9","source":"Crossref","DOI":"10.1016/j.ajic.2010.11.012","ISSN":"01966553","shortTitle":"Colonization pressure adjusted by degree of environmental contamination","language":"en","author":[{"family":"Wang","given":"Junrui"},{"family":"Wang","given":"Mei"},{"family":"Huang","given":"Yanfei"},{"family":"Zhu","given":"Min"},{"family":"Wang","given":"Yong"},{"family":"Zhuo","given":"Jie"},{"family":"Lu","given":"Xinxin"}],"issued":{"date-parts":[["2011",11]]}}}],"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[8,9]</w:t>
            </w:r>
            <w:r w:rsidRPr="00C54618">
              <w:rPr>
                <w:rFonts w:ascii="Times New Roman" w:hAnsi="Times New Roman" w:cs="Times New Roman"/>
                <w:sz w:val="16"/>
                <w:szCs w:val="16"/>
                <w:lang w:val="en-GB"/>
              </w:rPr>
              <w:fldChar w:fldCharType="end"/>
            </w:r>
          </w:p>
          <w:p w:rsidR="00DC431D" w:rsidRPr="00C54618" w:rsidRDefault="00DC431D" w:rsidP="00DC431D">
            <w:pPr>
              <w:rPr>
                <w:rFonts w:ascii="Times New Roman" w:hAnsi="Times New Roman" w:cs="Times New Roman"/>
                <w:sz w:val="16"/>
                <w:szCs w:val="16"/>
                <w:lang w:val="en-GB"/>
              </w:rPr>
            </w:pPr>
          </w:p>
        </w:tc>
        <w:tc>
          <w:tcPr>
            <w:tcW w:w="2544" w:type="dxa"/>
          </w:tcPr>
          <w:p w:rsidR="00955B36"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w:t>
            </w:r>
            <w:r w:rsidR="00543793" w:rsidRPr="00C54618">
              <w:rPr>
                <w:rFonts w:ascii="Times New Roman" w:hAnsi="Times New Roman" w:cs="Times New Roman"/>
                <w:sz w:val="16"/>
                <w:szCs w:val="16"/>
                <w:lang w:val="en-GB"/>
              </w:rPr>
              <w:t>9</w:t>
            </w:r>
            <w:r w:rsidR="00543793"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MkGEnhh0","properties":{"formattedCitation":"[8,9]","plainCitation":"[8,9]"},"citationItems":[{"id":648,"uris":["http://zotero.org/users/local/hjvuTSYk/items/W5U52C8K"],"uri":["http://zotero.org/users/local/hjvuTSYk/items/W5U52C8K"],"itemData":{"id":648,"type":"article-journal","title":"Effect of antibiotics on the bacterial load of meticillin-resistant Staphylococcus aureus colonisation in anterior nares","container-title":"The Journal of Hospital Infection","page":"27-34","volume":"70","issue":"1","source":"PubMed","abstract":"Prevalence of hospital-acquired meticillin-resistant Staphylococcus aureus (MRSA) infection or colonisation has been associated with antimicrobial consumption. The impact of antibiotic treatment on nasal colonisation is unknown. We conducted a three-month prospective study of 116 patients with extranasal MRSA infection or colonisation, whose nasal MRSA bacterial loads were determined during and after various antibiotic courses over a period of three weeks. Environmental swabs were also taken from the near patient environment. Concomitant nasal MRSA carriage was observed in 76.7% of extranasal MRSA-colonised or -infected patients. The median nasal MRSA bacterial load increased significantly from 2.78 (range 0-6.15) to 5.30 (range 2.90-8.41) log(10) cfu per swab (cfu/swab) (P&lt;0.001) over 21 days during beta-lactam therapy. It also increased from 0 (range 0-4.00) to 4.30 (range 0-7.46) log(10)cfu/swab (P=0.039) over 14 days during fluoroquinolone therapy. Median bacterial loads were significantly higher for beta-lactam- and fluoroquinolone-treated patients on day 7 [4.78, range 0-7.30], day 14 [4.30, range 0-7.60] and day 21 [5.30, range 2.90-8.41] than controls not receiving antibiotics (P&lt;0.05). These loads then decreased by 2-5log(10)cfu/swab 2 weeks after discontinuation of antibiotics. The environment of patients receiving beta-lactam agents (relative risk: 3.55; 95% confidence interval: 1.30-9.62; P=0.018) or fluoroquinolones (4.32; 1.52-12.31; P=0.008) demonstrated more MRSA contamination than the environment around control patients (0.79; 0.67-0.93; P=0.002). Patients on beta-lactam or fluoroquinolone therapy have increased incidence of MRSA colonisation and higher nasal bacterial loads, and appear to spread their MRSA into the near patient environment.","DOI":"10.1016/j.jhin.2008.05.019","ISSN":"0195-6701","note":"PMID: 18632184","journalAbbreviation":"J. Hosp. Infect.","language":"eng","author":[{"family":"Cheng","given":"V. C. C."},{"family":"Li","given":"I. W. S."},{"family":"Wu","given":"A. K. L."},{"family":"Tang","given":"B. S. F."},{"family":"Ng","given":"K. H. L."},{"family":"To","given":"K. K. W."},{"family":"Tse","given":"H."},{"family":"Que","given":"T. L."},{"family":"Ho","given":"P. L."},{"family":"Yuen","given":"K. Y."}],"issued":{"date-parts":[["2008",9]]},"PMID":"18632184"}},{"id":902,"uris":["http://zotero.org/users/local/hjvuTSYk/items/C8Q6IIFH"],"uri":["http://zotero.org/users/local/hjvuTSYk/items/C8Q6IIFH"],"itemData":{"id":902,"type":"article-journal","title":"Colonization pressure adjusted by degree of environmental contamination: A better indicator for predicting methicillin-resistant Staphylococcus aureus acquisition","container-title":"American Journal of Infection Control","page":"763-769","volume":"39","issue":"9","source":"Crossref","DOI":"10.1016/j.ajic.2010.11.012","ISSN":"01966553","shortTitle":"Colonization pressure adjusted by degree of environmental contamination","language":"en","author":[{"family":"Wang","given":"Junrui"},{"family":"Wang","given":"Mei"},{"family":"Huang","given":"Yanfei"},{"family":"Zhu","given":"Min"},{"family":"Wang","given":"Yong"},{"family":"Zhuo","given":"Jie"},{"family":"Lu","given":"Xinxin"}],"issued":{"date-parts":[["2011",11]]}}}],"schema":"https://github.com/citation-style-language/schema/raw/master/csl-citation.json"} </w:instrText>
            </w:r>
            <w:r w:rsidR="00543793"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lang w:val="en-US"/>
              </w:rPr>
              <w:t>[8,9]</w:t>
            </w:r>
            <w:r w:rsidR="00543793" w:rsidRPr="00C54618">
              <w:rPr>
                <w:rFonts w:ascii="Times New Roman" w:hAnsi="Times New Roman" w:cs="Times New Roman"/>
                <w:sz w:val="16"/>
                <w:szCs w:val="16"/>
                <w:lang w:val="en-GB"/>
              </w:rPr>
              <w:fldChar w:fldCharType="end"/>
            </w:r>
          </w:p>
          <w:p w:rsidR="00AF07AA" w:rsidRPr="00C54618" w:rsidRDefault="00AF07AA" w:rsidP="00904291">
            <w:pPr>
              <w:jc w:val="center"/>
              <w:rPr>
                <w:rFonts w:ascii="Times New Roman" w:hAnsi="Times New Roman" w:cs="Times New Roman"/>
                <w:sz w:val="16"/>
                <w:szCs w:val="16"/>
                <w:lang w:val="en-GB"/>
              </w:rPr>
            </w:pPr>
          </w:p>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i/>
                <w:sz w:val="16"/>
                <w:szCs w:val="16"/>
                <w:lang w:val="en-US"/>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US"/>
              </w:rPr>
            </w:pPr>
            <w:r w:rsidRPr="00C54618">
              <w:rPr>
                <w:rFonts w:ascii="Times New Roman" w:hAnsi="Times New Roman" w:cs="Times New Roman"/>
                <w:b/>
                <w:sz w:val="16"/>
                <w:szCs w:val="16"/>
                <w:lang w:val="en-GB"/>
              </w:rPr>
              <w:t>Colonisation</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US"/>
              </w:rPr>
            </w:pPr>
          </w:p>
        </w:tc>
        <w:tc>
          <w:tcPr>
            <w:tcW w:w="1354"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US"/>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US"/>
              </w:rPr>
            </w:pP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US"/>
              </w:rPr>
            </w:pPr>
            <w:proofErr w:type="spellStart"/>
            <w:r w:rsidRPr="00C54618">
              <w:rPr>
                <w:rFonts w:ascii="Times New Roman" w:hAnsi="Times New Roman" w:cs="Times New Roman"/>
                <w:i/>
                <w:sz w:val="16"/>
                <w:szCs w:val="16"/>
                <w:lang w:val="en-US"/>
              </w:rPr>
              <w:t>p</w:t>
            </w:r>
            <w:r w:rsidRPr="00C54618">
              <w:rPr>
                <w:rFonts w:ascii="Times New Roman" w:hAnsi="Times New Roman" w:cs="Times New Roman"/>
                <w:i/>
                <w:sz w:val="16"/>
                <w:szCs w:val="16"/>
                <w:vertAlign w:val="subscript"/>
                <w:lang w:val="en-US"/>
              </w:rPr>
              <w:t>col</w:t>
            </w:r>
            <w:proofErr w:type="spellEnd"/>
          </w:p>
        </w:tc>
        <w:tc>
          <w:tcPr>
            <w:tcW w:w="3865" w:type="dxa"/>
          </w:tcPr>
          <w:p w:rsidR="00DC431D" w:rsidRPr="00C54618" w:rsidRDefault="00DC431D" w:rsidP="0012437C">
            <w:pPr>
              <w:jc w:val="both"/>
              <w:rPr>
                <w:rFonts w:ascii="Times New Roman" w:hAnsi="Times New Roman" w:cs="Times New Roman"/>
                <w:sz w:val="16"/>
                <w:szCs w:val="16"/>
                <w:lang w:val="en-US"/>
              </w:rPr>
            </w:pPr>
            <w:r w:rsidRPr="00C54618">
              <w:rPr>
                <w:rFonts w:ascii="Times New Roman" w:hAnsi="Times New Roman" w:cs="Times New Roman"/>
                <w:sz w:val="16"/>
                <w:szCs w:val="16"/>
                <w:lang w:val="en-US"/>
              </w:rPr>
              <w:t xml:space="preserve">Daily probability of gut </w:t>
            </w:r>
            <w:proofErr w:type="spellStart"/>
            <w:r w:rsidRPr="00C54618">
              <w:rPr>
                <w:rFonts w:ascii="Times New Roman" w:hAnsi="Times New Roman" w:cs="Times New Roman"/>
                <w:sz w:val="16"/>
                <w:szCs w:val="16"/>
                <w:lang w:val="en-US"/>
              </w:rPr>
              <w:t>colonisation</w:t>
            </w:r>
            <w:proofErr w:type="spellEnd"/>
            <w:r w:rsidRPr="00C54618">
              <w:rPr>
                <w:rFonts w:ascii="Times New Roman" w:hAnsi="Times New Roman" w:cs="Times New Roman"/>
                <w:sz w:val="16"/>
                <w:szCs w:val="16"/>
                <w:lang w:val="en-US"/>
              </w:rPr>
              <w:t xml:space="preserve"> in a contaminated person</w:t>
            </w:r>
            <w:r w:rsidR="0012437C" w:rsidRPr="00C54618">
              <w:rPr>
                <w:rFonts w:ascii="Times New Roman" w:hAnsi="Times New Roman" w:cs="Times New Roman"/>
                <w:sz w:val="16"/>
                <w:szCs w:val="16"/>
                <w:lang w:val="en-US"/>
              </w:rPr>
              <w:t xml:space="preserve"> </w:t>
            </w:r>
          </w:p>
        </w:tc>
        <w:tc>
          <w:tcPr>
            <w:tcW w:w="1309" w:type="dxa"/>
          </w:tcPr>
          <w:p w:rsidR="00DC431D" w:rsidRPr="00C54618" w:rsidRDefault="00DC431D" w:rsidP="00DC431D">
            <w:pPr>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0</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012</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Pr="00C54618">
              <w:rPr>
                <w:rFonts w:ascii="Times New Roman" w:hAnsi="Times New Roman" w:cs="Times New Roman"/>
                <w:sz w:val="16"/>
                <w:szCs w:val="16"/>
                <w:lang w:val="en-GB"/>
              </w:rPr>
              <w:instrText xml:space="preserve"> ADDIN ZOTERO_ITEM CSL_CITATION {"citationID":"62qmu3su6","properties":{"formattedCitation":"[21]","plainCitation":"[21]","dontUpdate":true},"citationItems":[{"id":650,"uris":["http://zotero.org/users/local/hjvuTSYk/items/FXH3KQTA"],"uri":["http://zotero.org/users/local/hjvuTSYk/items/FXH3KQTA"],"itemData":{"id":650,"type":"article-journal","title":"Quantitative assessment of risk reduction from hand washing with antibacterial soaps","container-title":"Journal of Applied Microbiology","page":"136S-43S","volume":"92 Suppl","source":"PubMed","abstract":"The Centers for Disease Control and Prevention have estimated that there are 3,713,000 cases of infectious disease associated with day care facilities each year. The objective of this study was to examine the risk reduction achieved from using different soap formulations after diaper changing using a microbial quantitative risk assessment approach. To achieve this, a probability of infection model and an exposure assessment based on micro-organism transfer were used to evaluate the efficacy of different soap formulations in reducing the probability of disease following hand contact with an enteric pathogen. Based on this model, it was determined that the probability of infection ranged from 24/100 to 91/100 for those changing diapers of babies with symptomatic shigellosis who used a control product (soap without an antibacterial ingredient), 22/100 to 91/100 for those who used an antibacterial soap (chlorohexadine 4%), and 15/100 to 90/100 for those who used a triclosan (1.5%) antibacterial soap. Those with asymptomatic shigellosis who used a non-antibacterial control soap had a risk between 49/100,000 and 53/100, those who used the 4% chlorohexadine-containing soap had a risk between 43/100,000 and 51/100, and for those who used a 1.5% triclosan soap had a risk between 21/100,000 and 43/100. The adequate washing of hands after diapering reduces risk and can be further reduced by a factor of 20% by the use of an antibacterial soap. Quantitative risk assessment is a valuable tool in the evaluation of household sanitizing agents and low risk outcomes.","ISSN":"1364-5072","note":"PMID: 12000622","journalAbbreviation":"J. Appl. Microbiol.","language":"eng","author":[{"family":"Gibson","given":"L. L."},{"family":"Rose","given":"J. B."},{"family":"Haas","given":"C. N."},{"family":"Gerba","given":"C. P."},{"family":"Rusin","given":"P. A."}],"issued":{"date-parts":[["2002"]]},"PMID":"12000622"}}],"schema":"https://github.com/citation-style-language/schema/raw/master/csl-citation.json"} </w:instrText>
            </w:r>
            <w:r w:rsidRPr="00C54618">
              <w:rPr>
                <w:rFonts w:ascii="Times New Roman" w:hAnsi="Times New Roman" w:cs="Times New Roman"/>
                <w:sz w:val="16"/>
                <w:szCs w:val="16"/>
                <w:lang w:val="en-GB"/>
              </w:rPr>
              <w:fldChar w:fldCharType="separate"/>
            </w:r>
            <w:r w:rsidRPr="00C54618">
              <w:rPr>
                <w:rFonts w:ascii="Times New Roman" w:hAnsi="Times New Roman" w:cs="Times New Roman"/>
                <w:sz w:val="16"/>
                <w:szCs w:val="16"/>
                <w:lang w:val="en-US"/>
              </w:rPr>
              <w:t>Calibrated</w:t>
            </w:r>
            <w:r w:rsidRPr="00C54618">
              <w:rPr>
                <w:rFonts w:ascii="Times New Roman" w:hAnsi="Times New Roman" w:cs="Times New Roman"/>
                <w:sz w:val="16"/>
                <w:szCs w:val="16"/>
                <w:lang w:val="en-GB"/>
              </w:rPr>
              <w:fldChar w:fldCharType="end"/>
            </w:r>
            <w:r w:rsidRPr="00C54618">
              <w:rPr>
                <w:rFonts w:ascii="Times New Roman" w:hAnsi="Times New Roman" w:cs="Times New Roman"/>
                <w:sz w:val="16"/>
                <w:szCs w:val="16"/>
                <w:lang w:val="en-GB"/>
              </w:rPr>
              <w:t xml:space="preserve"> to reproduce the transmission rate from </w:t>
            </w: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1m0a1f8vkh","properties":{"formattedCitation":"[1]","plainCitation":"[1]"},"citationItems":[{"id":457,"uris":["http://zotero.org/users/local/hjvuTSYk/items/EQ2CM7GZ"],"uri":["http://zotero.org/users/local/hjvuTSYk/items/EQ2CM7GZ"],"itemData":{"id":457,"type":"article-journal","title":"Import and spread of extended-spectrum β-lactamase-producing Enterobacteriaceae by international travellers (COMBAT study): a prospective, multicentre cohort study","container-title":"The Lancet Infectious Diseases","page":"78-85","volume":"17","issue":"1","source":"www.thelancet.com","abstract":"&lt;h2&gt;Summary&lt;/h2&gt;&lt;h3&gt;Background&lt;/h3&gt;&lt;p&gt;International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transmission.&lt;/p&gt;&lt;h3&gt;Methods&lt;/h3&gt;&lt;p&gt;Within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NCT01676974.&lt;/p&gt;&lt;h3&gt;Findings&lt;/h3&gt;&lt;p&gt;633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5–18).&lt;/p&gt;&lt;h3&gt;Interpretation&lt;/h3&gt;&lt;p&gt;Acquisition and spread of ESBL-E during and after international travel was substantial and worrisome. Travellers to areas with a high risk of ESBL-E acquisition should be viewed as potential carriers of ESBL-E for up to 12 months after return.&lt;/p&gt;&lt;h3&gt;Funding&lt;/h3&gt;&lt;p&gt;Netherlands Organisation for Health Research and Development (ZonMw).&lt;/p&gt;","DOI":"10.1016/S1473-3099(16)30319-X","ISSN":"1473-3099, 1474-4457","note":"PMID: 27751772, 27751772","shortTitle":"Import and spread of extended-spectrum β-lactamase-producing Enterobacteriaceae by international travellers (COMBAT study)","journalAbbreviation":"The Lancet Infectious Diseases","language":"English","author":[{"family":"Arcilla","given":"Maris S."},{"family":"Hattem","given":"Jarne M.","dropping-particle":"van"},{"family":"Haverkate","given":"Manon R."},{"family":"Bootsma","given":"Martin C. J."},{"family":"Genderen","given":"Perry J. J.","dropping-particle":"van"},{"family":"Goorhuis","given":"Abraham"},{"family":"Grobusch","given":"Martin P."},{"family":"Lashof","given":"Astrid M. Oude"},{"family":"Molhoek","given":"Nicky"},{"family":"Schultsz","given":"Constance"},{"family":"Stobberingh","given":"Ellen E."},{"family":"Verbrugh","given":"Henri A."},{"family":"Jong","given":"Menno D.","dropping-particle":"de"},{"family":"Melles","given":"Damian C."},{"family":"Penders","given":"John"}],"issued":{"date-parts":[["2017",1,1]]},"PMID":"27751772"}}],"schema":"https://github.com/citation-style-language/schema/raw/master/csl-citation.json"}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lang w:val="en-US"/>
              </w:rPr>
              <w:t>[1]</w:t>
            </w:r>
            <w:r w:rsidRPr="00C54618">
              <w:rPr>
                <w:rFonts w:ascii="Times New Roman" w:hAnsi="Times New Roman" w:cs="Times New Roman"/>
                <w:sz w:val="16"/>
                <w:szCs w:val="16"/>
                <w:lang w:val="en-GB"/>
              </w:rPr>
              <w:fldChar w:fldCharType="end"/>
            </w:r>
            <w:r w:rsidRPr="00C54618">
              <w:rPr>
                <w:rFonts w:ascii="Times New Roman" w:hAnsi="Times New Roman" w:cs="Times New Roman"/>
                <w:sz w:val="16"/>
                <w:szCs w:val="16"/>
                <w:lang w:val="en-GB"/>
              </w:rPr>
              <w:t xml:space="preserve"> </w:t>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006-0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018</w:t>
            </w:r>
          </w:p>
        </w:tc>
      </w:tr>
      <w:tr w:rsidR="0012437C" w:rsidRPr="002C7656" w:rsidTr="00CC6CAC">
        <w:tc>
          <w:tcPr>
            <w:tcW w:w="1413" w:type="dxa"/>
          </w:tcPr>
          <w:p w:rsidR="0012437C" w:rsidRPr="00C54618" w:rsidRDefault="0012437C" w:rsidP="00DC431D">
            <w:pPr>
              <w:jc w:val="both"/>
              <w:rPr>
                <w:rFonts w:ascii="Times New Roman" w:hAnsi="Times New Roman" w:cs="Times New Roman"/>
                <w:i/>
                <w:sz w:val="16"/>
                <w:szCs w:val="16"/>
                <w:lang w:val="en-US"/>
              </w:rPr>
            </w:pPr>
            <w:proofErr w:type="spellStart"/>
            <w:r w:rsidRPr="00C54618">
              <w:rPr>
                <w:rFonts w:ascii="Times New Roman" w:hAnsi="Times New Roman" w:cs="Times New Roman"/>
                <w:i/>
                <w:sz w:val="16"/>
                <w:szCs w:val="16"/>
                <w:lang w:val="en-US"/>
              </w:rPr>
              <w:t>p</w:t>
            </w:r>
            <w:r w:rsidRPr="00C54618">
              <w:rPr>
                <w:rFonts w:ascii="Times New Roman" w:hAnsi="Times New Roman" w:cs="Times New Roman"/>
                <w:i/>
                <w:sz w:val="16"/>
                <w:szCs w:val="16"/>
                <w:vertAlign w:val="subscript"/>
                <w:lang w:val="en-US"/>
              </w:rPr>
              <w:t>col,feed</w:t>
            </w:r>
            <w:proofErr w:type="spellEnd"/>
          </w:p>
        </w:tc>
        <w:tc>
          <w:tcPr>
            <w:tcW w:w="3865" w:type="dxa"/>
          </w:tcPr>
          <w:p w:rsidR="0012437C" w:rsidRPr="00C54618" w:rsidRDefault="0012437C" w:rsidP="0012437C">
            <w:pPr>
              <w:jc w:val="both"/>
              <w:rPr>
                <w:rFonts w:ascii="Times New Roman" w:hAnsi="Times New Roman" w:cs="Times New Roman"/>
                <w:sz w:val="16"/>
                <w:szCs w:val="16"/>
                <w:lang w:val="en-US"/>
              </w:rPr>
            </w:pPr>
            <w:r w:rsidRPr="00C54618">
              <w:rPr>
                <w:rFonts w:ascii="Times New Roman" w:hAnsi="Times New Roman" w:cs="Times New Roman"/>
                <w:sz w:val="16"/>
                <w:szCs w:val="16"/>
                <w:lang w:val="en-US"/>
              </w:rPr>
              <w:t xml:space="preserve">Daily probability of gut colonization in a baby </w:t>
            </w:r>
            <w:proofErr w:type="spellStart"/>
            <w:r w:rsidRPr="00C54618">
              <w:rPr>
                <w:rFonts w:ascii="Times New Roman" w:hAnsi="Times New Roman" w:cs="Times New Roman"/>
                <w:sz w:val="16"/>
                <w:szCs w:val="16"/>
                <w:lang w:val="en-US"/>
              </w:rPr>
              <w:t>feeded</w:t>
            </w:r>
            <w:proofErr w:type="spellEnd"/>
            <w:r w:rsidRPr="00C54618">
              <w:rPr>
                <w:rFonts w:ascii="Times New Roman" w:hAnsi="Times New Roman" w:cs="Times New Roman"/>
                <w:sz w:val="16"/>
                <w:szCs w:val="16"/>
                <w:lang w:val="en-US"/>
              </w:rPr>
              <w:t xml:space="preserve"> by a contaminated person</w:t>
            </w:r>
          </w:p>
        </w:tc>
        <w:tc>
          <w:tcPr>
            <w:tcW w:w="1309" w:type="dxa"/>
          </w:tcPr>
          <w:p w:rsidR="0012437C" w:rsidRPr="00C54618" w:rsidRDefault="0039658C" w:rsidP="00DC431D">
            <w:pPr>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0</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012</w:t>
            </w:r>
          </w:p>
        </w:tc>
        <w:tc>
          <w:tcPr>
            <w:tcW w:w="1354" w:type="dxa"/>
          </w:tcPr>
          <w:p w:rsidR="0012437C" w:rsidRPr="00C54618" w:rsidRDefault="0039658C"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Assumed the same as </w:t>
            </w:r>
            <w:r w:rsidRPr="00C54618">
              <w:rPr>
                <w:rFonts w:ascii="Times New Roman" w:hAnsi="Times New Roman" w:cs="Times New Roman"/>
                <w:i/>
                <w:sz w:val="16"/>
                <w:szCs w:val="16"/>
                <w:lang w:val="en-US"/>
              </w:rPr>
              <w:t xml:space="preserve"> </w:t>
            </w:r>
            <w:proofErr w:type="spellStart"/>
            <w:r w:rsidRPr="00C54618">
              <w:rPr>
                <w:rFonts w:ascii="Times New Roman" w:hAnsi="Times New Roman" w:cs="Times New Roman"/>
                <w:i/>
                <w:sz w:val="16"/>
                <w:szCs w:val="16"/>
                <w:lang w:val="en-US"/>
              </w:rPr>
              <w:t>p</w:t>
            </w:r>
            <w:r w:rsidRPr="00C54618">
              <w:rPr>
                <w:rFonts w:ascii="Times New Roman" w:hAnsi="Times New Roman" w:cs="Times New Roman"/>
                <w:i/>
                <w:sz w:val="16"/>
                <w:szCs w:val="16"/>
                <w:vertAlign w:val="subscript"/>
                <w:lang w:val="en-US"/>
              </w:rPr>
              <w:t>col</w:t>
            </w:r>
            <w:proofErr w:type="spellEnd"/>
          </w:p>
        </w:tc>
        <w:tc>
          <w:tcPr>
            <w:tcW w:w="2544" w:type="dxa"/>
          </w:tcPr>
          <w:p w:rsidR="0012437C" w:rsidRPr="00C54618" w:rsidRDefault="0012437C" w:rsidP="00904291">
            <w:pPr>
              <w:jc w:val="center"/>
              <w:rPr>
                <w:rFonts w:ascii="Times New Roman" w:hAnsi="Times New Roman" w:cs="Times New Roman"/>
                <w:sz w:val="16"/>
                <w:szCs w:val="16"/>
                <w:lang w:val="en-GB"/>
              </w:rPr>
            </w:pPr>
          </w:p>
        </w:tc>
      </w:tr>
      <w:tr w:rsidR="00DC431D" w:rsidRPr="00D54669" w:rsidTr="00CC6CAC">
        <w:tc>
          <w:tcPr>
            <w:tcW w:w="1413" w:type="dxa"/>
          </w:tcPr>
          <w:p w:rsidR="00DC431D" w:rsidRPr="00C54618" w:rsidRDefault="00DC431D" w:rsidP="00DC431D">
            <w:pPr>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rr</w:t>
            </w:r>
            <w:r w:rsidRPr="00C54618">
              <w:rPr>
                <w:rFonts w:ascii="Times New Roman" w:hAnsi="Times New Roman" w:cs="Times New Roman"/>
                <w:i/>
                <w:sz w:val="16"/>
                <w:szCs w:val="16"/>
                <w:vertAlign w:val="subscript"/>
                <w:lang w:val="en-GB"/>
              </w:rPr>
              <w:t>col</w:t>
            </w:r>
            <w:proofErr w:type="spellEnd"/>
          </w:p>
        </w:tc>
        <w:tc>
          <w:tcPr>
            <w:tcW w:w="3865"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GB"/>
              </w:rPr>
              <w:t>Relative risk of gut colonisation in a contaminated person receiving antibiotics</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3</w:t>
            </w:r>
          </w:p>
        </w:tc>
        <w:tc>
          <w:tcPr>
            <w:tcW w:w="1354" w:type="dxa"/>
          </w:tcPr>
          <w:p w:rsidR="00DC431D" w:rsidRPr="00C54618" w:rsidRDefault="00DC431D" w:rsidP="00DC431D">
            <w:pPr>
              <w:rPr>
                <w:rFonts w:ascii="Times New Roman" w:hAnsi="Times New Roman" w:cs="Times New Roman"/>
                <w:sz w:val="16"/>
                <w:szCs w:val="16"/>
                <w:lang w:val="en-GB"/>
              </w:rPr>
            </w:pPr>
            <w:r w:rsidRPr="00C54618">
              <w:rPr>
                <w:rFonts w:ascii="Times New Roman" w:hAnsi="Times New Roman" w:cs="Times New Roman"/>
                <w:sz w:val="16"/>
                <w:szCs w:val="16"/>
                <w:lang w:val="en-US"/>
              </w:rPr>
              <w:fldChar w:fldCharType="begin"/>
            </w:r>
            <w:r w:rsidR="008C5DFA">
              <w:rPr>
                <w:rFonts w:ascii="Times New Roman" w:hAnsi="Times New Roman" w:cs="Times New Roman"/>
                <w:sz w:val="16"/>
                <w:szCs w:val="16"/>
                <w:lang w:val="en-GB"/>
              </w:rPr>
              <w:instrText xml:space="preserve"> ADDIN ZOTERO_ITEM CSL_CITATION {"citationID":"2djfz02D","properties":{"formattedCitation":"{\\rtf [10\\uc0\\u8211{}13]}","plainCitation":"[10–13]"},"citationItems":[{"id":652,"uris":["http://zotero.org/users/local/hjvuTSYk/items/5ZPIWAD5"],"uri":["http://zotero.org/users/local/hjvuTSYk/items/5ZPIWAD5"],"itemData":{"id":652,"type":"article-journal","title":"Risk factors for acquisition of OXA-48-producing Klebsiella pneumonia among contact patients: a multicentre study","container-title":"The Journal of Hospital Infection","page":"253-259","volume":"98","issue":"3","source":"PubMed","abstract":"BACKGROUND: Cohorting carbapenemase-producing Enterobacteriaceae (CPE) carriers during hospitalization limits in-hospital spreading.\nAIM: To identify risk factors for CPE acquisition among contacts of an index patient in non-cohorted populations.\nMETHODS: A multicentre retrospective matched case-control study was conducted in five hospitals. Each contact patient (case) who acquired Klebsiella pneumoniae (KP)-OXA-48 from an index patient was compared to three contact (controls) with the same index patients matched with hospitalization in the same unit and similar exposure times.\nFINDINGS: Fifty-one secondary cases and 131 controls were included. By univariate analysis, exposure time (odds ratio: 1.06; 95% confidence interval: 1.02-1.1; P = 0.006), concomitant infection at admission (3.23; 1.42-7.35; P = 0.005), antimicrobial therapy within the last month before hospitalization (2.88; 1.34-6.2; P = 0.007), antimicrobial therapy during the exposure time (5.36; 2.28-12.6; P &lt; 0.001), use of at least one invasive procedure (2.99; 1.25-7.15; P = 0.014), number of invasive procedures (1.52; 1.05-2.19; P = 0.025), and geographical proximity (2.84; 1.15-7.00; P = 0.023) were associated with CPE acquisition. By multivariate analysis, antimicrobial therapy during the exposure time (odds ratio: 6.36; 95% confidence interval: 2.46-16.44; P &lt; 0.001), at least one invasive procedure (2.92; 1.04-8.17; P = 0.041), and geographical proximity (3.69; 1.15-11.86; P = 0.028) were associated with acquisition.\nCONCLUSION: In this study, geographical proximity, invasive procedure, and antimicrobial therapy during exposure time were significantly associated with KP-OXA-48 acquisition.","DOI":"10.1016/j.jhin.2017.08.024","ISSN":"1532-2939","note":"PMID: 28882642","shortTitle":"Risk factors for acquisition of OXA-48-producing Klebsiella pneumonia among contact patients","journalAbbreviation":"J. Hosp. Infect.","language":"eng","author":[{"family":"Hilliquin","given":"D."},{"family":"Le Guern","given":"R."},{"family":"Thepot Seegers","given":"V."},{"family":"Neulier","given":"C."},{"family":"Lomont","given":"A."},{"family":"Marie","given":"V."},{"family":"Legeay","given":"C."},{"family":"Merrer","given":"J."},{"family":"Lepelletier","given":"D."},{"family":"Rogues","given":"A. M."},{"family":"Grandbastien","given":"B."},{"family":"Lucet","given":"J. C."},{"family":"Zahar","given":"J. R."}],"issued":{"date-parts":[["2018",3]]},"PMID":"28882642"}},{"id":654,"uris":["http://zotero.org/users/local/hjvuTSYk/items/G8ZNZDC9"],"uri":["http://zotero.org/users/local/hjvuTSYk/items/G8ZNZDC9"],"itemData":{"id":654,"type":"article-journal","title":"Antecedent Treatment with Different Antibiotic Agents as a Risk Factor for Vancomycin-Resistant Enterococcus","container-title":"Emerging Infectious Diseases","page":"802-807","volume":"8","issue":"8","source":"PubMed Central","abstract":"We conducted a matched case-control study to compare the effect of antecedent treatment with various antibiotics on subsequent isolation of vancomycin-resistant Enterococcus (VRE); 880 in-patients; 233 VRE cases, and 647 matched controls were included. After being matched for hospital location, calendar time, and duration of hospitalization, the following variables predicted VRE positivity: main admitting diagnosis; a coexisting condition (e.g., diabetes mellitus, organ transplant, or hepatobiliary disease); and infection or colonization with methicillin-resistant Staphylococcus aureus or Clostridium difficile within the past year (independent of vancomycin treatment). After controlling for these variables, we examined the effect of various antibiotics. Intravenous treatment with third-generation cephalosporins, metronidazole, and fluoroquinolones was positively associated with VRE. In our institution, when we adjusted the data for temporo-spatial factors, patient characteristics, and hospital events, treatment with third-generation cephalosporins, metronidazole, and fluoroquinolones was identified as a risk factor for VRE. Vancomycin was not a risk factor for isolation of VRE.","DOI":"10.3201/eid0808.010418","ISSN":"1080-6040","note":"PMID: 12141965\nPMCID: PMC2732508","journalAbbreviation":"Emerg Infect Dis","author":[{"family":"Carmeli","given":"Yehuda"},{"family":"Eliopoulos","given":"George M."},{"family":"Samore","given":"Matthew H."}],"issued":{"date-parts":[["2002",8]]},"PMID":"12141965","PMCID":"PMC2732508"}},{"id":793,"uris":["http://zotero.org/users/local/hjvuTSYk/items/N2IK8UBE"],"uri":["http://zotero.org/users/local/hjvuTSYk/items/N2IK8UBE"],"itemData":{"id":793,"type":"article-journal","title":"Risk factors associated with extended-spectrum β-lactamase-producing organisms at a tertiary care hospital","container-title":"Journal of Antimicrobial Chemotherapy","page":"139-145","volume":"56","issue":"1","source":"academic.oup.com","abstract":"Abstract.  Background: In 1995, β-lactam inhibitor combinations replaced third-generation cephalosporins as empirical therapy in an effort to manage extended-sp","DOI":"10.1093/jac/dki180","ISSN":"0305-7453","journalAbbreviation":"J Antimicrob Chemother","language":"en","author":[{"family":"Graffunder","given":"Eileen M."},{"family":"Preston","given":"Karen E."},{"family":"Evans","given":"Ann M."},{"family":"Venezia","given":"Richard A."}],"issued":{"date-parts":[["2005",7,1]]}}},{"id":796,"uris":["http://zotero.org/users/local/hjvuTSYk/items/BJ2FKAQ6"],"uri":["http://zotero.org/users/local/hjvuTSYk/items/BJ2FKAQ6"],"itemData":{"id":796,"type":"article-journal","title":"Effect of Antibiotic Therapy on the Density of Vancomycin-Resistant Enterococci in the Stool of Colonized Patients","container-title":"New England Journal of Medicine","page":"1925-1932","volume":"343","issue":"26","source":"Taylor and Francis+NEJM","abstract":"In case–control studies, colonization and infection with vancomycin-resistant enterococci have been associated with exposure to vancomycin,1–6 third-generation cephalosporins,3–6 antibiotics that are active against anaerobes,3,6–8 ciprofloxacin,1 and aminoglycosides.4 The microbiologic basis for these associations is not well defined. If some antibiotics promote colonization and infection more than others that are equally effective, limiting the use of these agents may limit the spread of vancomycin-resistant enterococci. We previously examined the effect of various antibiotics on intestinal colonization with vancomycin-resistant enterococci in mice.9 In mice with established colonization, as evidenced by the high density of vancomycin-resistant enterococci in stool, . . .","DOI":"10.1056/NEJM200012283432604","ISSN":"0028-4793","note":"PMID: 11136263","author":[{"family":"Donskey","given":"Curtis J."},{"family":"Chowdhry","given":"Tanvir K."},{"family":"Hecker","given":"Michelle T."},{"family":"Hoyen","given":"Claudia K."},{"family":"Hanrahan","given":"Jennifer A."},{"family":"Hujer","given":"Andrea M."},{"family":"Hutton-Thomas","given":"Rebecca A."},{"family":"Whalen","given":"Christopher C."},{"family":"Bonomo","given":"Robert A."},{"family":"Rice","given":"Louis B."}],"issued":{"date-parts":[["2000",12,28]]},"PMID":"11136263"}}],"schema":"https://github.com/citation-style-language/schema/raw/master/csl-citation.json"} </w:instrText>
            </w:r>
            <w:r w:rsidRPr="00C54618">
              <w:rPr>
                <w:rFonts w:ascii="Times New Roman" w:hAnsi="Times New Roman" w:cs="Times New Roman"/>
                <w:sz w:val="16"/>
                <w:szCs w:val="16"/>
                <w:lang w:val="en-US"/>
              </w:rPr>
              <w:fldChar w:fldCharType="separate"/>
            </w:r>
            <w:r w:rsidR="008C5DFA" w:rsidRPr="008C5DFA">
              <w:rPr>
                <w:rFonts w:ascii="Times New Roman" w:hAnsi="Times New Roman" w:cs="Times New Roman"/>
                <w:sz w:val="16"/>
                <w:szCs w:val="24"/>
              </w:rPr>
              <w:t>[10–13]</w:t>
            </w:r>
            <w:r w:rsidRPr="00C54618">
              <w:rPr>
                <w:rFonts w:ascii="Times New Roman" w:hAnsi="Times New Roman" w:cs="Times New Roman"/>
                <w:sz w:val="16"/>
                <w:szCs w:val="16"/>
                <w:lang w:val="en-US"/>
              </w:rPr>
              <w:fldChar w:fldCharType="end"/>
            </w:r>
            <w:r w:rsidRPr="00C54618">
              <w:rPr>
                <w:rFonts w:ascii="Times New Roman" w:hAnsi="Times New Roman" w:cs="Times New Roman"/>
                <w:sz w:val="16"/>
                <w:szCs w:val="16"/>
                <w:lang w:val="en-GB"/>
              </w:rPr>
              <w:t xml:space="preserve"> </w:t>
            </w:r>
          </w:p>
          <w:p w:rsidR="00DC431D" w:rsidRPr="00C54618" w:rsidRDefault="00DC431D" w:rsidP="00DC431D">
            <w:pPr>
              <w:rPr>
                <w:rFonts w:ascii="Times New Roman" w:hAnsi="Times New Roman" w:cs="Times New Roman"/>
                <w:sz w:val="16"/>
                <w:szCs w:val="16"/>
                <w:lang w:val="en-US"/>
              </w:rPr>
            </w:pPr>
          </w:p>
        </w:tc>
        <w:tc>
          <w:tcPr>
            <w:tcW w:w="2544" w:type="dxa"/>
          </w:tcPr>
          <w:p w:rsidR="00451253"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w:t>
            </w:r>
            <w:r w:rsidR="0066656F" w:rsidRPr="00C54618">
              <w:rPr>
                <w:rFonts w:ascii="Times New Roman" w:hAnsi="Times New Roman" w:cs="Times New Roman"/>
                <w:sz w:val="16"/>
                <w:szCs w:val="16"/>
                <w:lang w:val="en-GB"/>
              </w:rPr>
              <w:t>15</w:t>
            </w:r>
            <w:r w:rsidR="00451253" w:rsidRPr="00C54618">
              <w:rPr>
                <w:rFonts w:ascii="Times New Roman" w:hAnsi="Times New Roman" w:cs="Times New Roman"/>
                <w:sz w:val="16"/>
                <w:szCs w:val="16"/>
                <w:lang w:val="en-US"/>
              </w:rPr>
              <w:fldChar w:fldCharType="begin"/>
            </w:r>
            <w:r w:rsidR="008C5DFA">
              <w:rPr>
                <w:rFonts w:ascii="Times New Roman" w:hAnsi="Times New Roman" w:cs="Times New Roman"/>
                <w:sz w:val="16"/>
                <w:szCs w:val="16"/>
                <w:lang w:val="en-GB"/>
              </w:rPr>
              <w:instrText xml:space="preserve"> ADDIN ZOTERO_ITEM CSL_CITATION {"citationID":"81X13t27","properties":{"formattedCitation":"{\\rtf [10\\uc0\\u8211{}13]}","plainCitation":"[10–13]"},"citationItems":[{"id":652,"uris":["http://zotero.org/users/local/hjvuTSYk/items/5ZPIWAD5"],"uri":["http://zotero.org/users/local/hjvuTSYk/items/5ZPIWAD5"],"itemData":{"id":652,"type":"article-journal","title":"Risk factors for acquisition of OXA-48-producing Klebsiella pneumonia among contact patients: a multicentre study","container-title":"The Journal of Hospital Infection","page":"253-259","volume":"98","issue":"3","source":"PubMed","abstract":"BACKGROUND: Cohorting carbapenemase-producing Enterobacteriaceae (CPE) carriers during hospitalization limits in-hospital spreading.\nAIM: To identify risk factors for CPE acquisition among contacts of an index patient in non-cohorted populations.\nMETHODS: A multicentre retrospective matched case-control study was conducted in five hospitals. Each contact patient (case) who acquired Klebsiella pneumoniae (KP)-OXA-48 from an index patient was compared to three contact (controls) with the same index patients matched with hospitalization in the same unit and similar exposure times.\nFINDINGS: Fifty-one secondary cases and 131 controls were included. By univariate analysis, exposure time (odds ratio: 1.06; 95% confidence interval: 1.02-1.1; P = 0.006), concomitant infection at admission (3.23; 1.42-7.35; P = 0.005), antimicrobial therapy within the last month before hospitalization (2.88; 1.34-6.2; P = 0.007), antimicrobial therapy during the exposure time (5.36; 2.28-12.6; P &lt; 0.001), use of at least one invasive procedure (2.99; 1.25-7.15; P = 0.014), number of invasive procedures (1.52; 1.05-2.19; P = 0.025), and geographical proximity (2.84; 1.15-7.00; P = 0.023) were associated with CPE acquisition. By multivariate analysis, antimicrobial therapy during the exposure time (odds ratio: 6.36; 95% confidence interval: 2.46-16.44; P &lt; 0.001), at least one invasive procedure (2.92; 1.04-8.17; P = 0.041), and geographical proximity (3.69; 1.15-11.86; P = 0.028) were associated with acquisition.\nCONCLUSION: In this study, geographical proximity, invasive procedure, and antimicrobial therapy during exposure time were significantly associated with KP-OXA-48 acquisition.","DOI":"10.1016/j.jhin.2017.08.024","ISSN":"1532-2939","note":"PMID: 28882642","shortTitle":"Risk factors for acquisition of OXA-48-producing Klebsiella pneumonia among contact patients","journalAbbreviation":"J. Hosp. Infect.","language":"eng","author":[{"family":"Hilliquin","given":"D."},{"family":"Le Guern","given":"R."},{"family":"Thepot Seegers","given":"V."},{"family":"Neulier","given":"C."},{"family":"Lomont","given":"A."},{"family":"Marie","given":"V."},{"family":"Legeay","given":"C."},{"family":"Merrer","given":"J."},{"family":"Lepelletier","given":"D."},{"family":"Rogues","given":"A. M."},{"family":"Grandbastien","given":"B."},{"family":"Lucet","given":"J. C."},{"family":"Zahar","given":"J. R."}],"issued":{"date-parts":[["2018",3]]},"PMID":"28882642"}},{"id":654,"uris":["http://zotero.org/users/local/hjvuTSYk/items/G8ZNZDC9"],"uri":["http://zotero.org/users/local/hjvuTSYk/items/G8ZNZDC9"],"itemData":{"id":654,"type":"article-journal","title":"Antecedent Treatment with Different Antibiotic Agents as a Risk Factor for Vancomycin-Resistant Enterococcus","container-title":"Emerging Infectious Diseases","page":"802-807","volume":"8","issue":"8","source":"PubMed Central","abstract":"We conducted a matched case-control study to compare the effect of antecedent treatment with various antibiotics on subsequent isolation of vancomycin-resistant Enterococcus (VRE); 880 in-patients; 233 VRE cases, and 647 matched controls were included. After being matched for hospital location, calendar time, and duration of hospitalization, the following variables predicted VRE positivity: main admitting diagnosis; a coexisting condition (e.g., diabetes mellitus, organ transplant, or hepatobiliary disease); and infection or colonization with methicillin-resistant Staphylococcus aureus or Clostridium difficile within the past year (independent of vancomycin treatment). After controlling for these variables, we examined the effect of various antibiotics. Intravenous treatment with third-generation cephalosporins, metronidazole, and fluoroquinolones was positively associated with VRE. In our institution, when we adjusted the data for temporo-spatial factors, patient characteristics, and hospital events, treatment with third-generation cephalosporins, metronidazole, and fluoroquinolones was identified as a risk factor for VRE. Vancomycin was not a risk factor for isolation of VRE.","DOI":"10.3201/eid0808.010418","ISSN":"1080-6040","note":"PMID: 12141965\nPMCID: PMC2732508","journalAbbreviation":"Emerg Infect Dis","author":[{"family":"Carmeli","given":"Yehuda"},{"family":"Eliopoulos","given":"George M."},{"family":"Samore","given":"Matthew H."}],"issued":{"date-parts":[["2002",8]]},"PMID":"12141965","PMCID":"PMC2732508"}},{"id":793,"uris":["http://zotero.org/users/local/hjvuTSYk/items/N2IK8UBE"],"uri":["http://zotero.org/users/local/hjvuTSYk/items/N2IK8UBE"],"itemData":{"id":793,"type":"article-journal","title":"Risk factors associated with extended-spectrum β-lactamase-producing organisms at a tertiary care hospital","container-title":"Journal of Antimicrobial Chemotherapy","page":"139-145","volume":"56","issue":"1","source":"academic.oup.com","abstract":"Abstract.  Background: In 1995, β-lactam inhibitor combinations replaced third-generation cephalosporins as empirical therapy in an effort to manage extended-sp","DOI":"10.1093/jac/dki180","ISSN":"0305-7453","journalAbbreviation":"J Antimicrob Chemother","language":"en","author":[{"family":"Graffunder","given":"Eileen M."},{"family":"Preston","given":"Karen E."},{"family":"Evans","given":"Ann M."},{"family":"Venezia","given":"Richard A."}],"issued":{"date-parts":[["2005",7,1]]}}},{"id":796,"uris":["http://zotero.org/users/local/hjvuTSYk/items/BJ2FKAQ6"],"uri":["http://zotero.org/users/local/hjvuTSYk/items/BJ2FKAQ6"],"itemData":{"id":796,"type":"article-journal","title":"Effect of Antibiotic Therapy on the Density of Vancomycin-Resistant Enterococci in the Stool of Colonized Patients","container-title":"New England Journal of Medicine","page":"1925-1932","volume":"343","issue":"26","source":"Taylor and Francis+NEJM","abstract":"In case–control studies, colonization and infection with vancomycin-resistant enterococci have been associated with exposure to vancomycin,1–6 third-generation cephalosporins,3–6 antibiotics that are active against anaerobes,3,6–8 ciprofloxacin,1 and aminoglycosides.4 The microbiologic basis for these associations is not well defined. If some antibiotics promote colonization and infection more than others that are equally effective, limiting the use of these agents may limit the spread of vancomycin-resistant enterococci. We previously examined the effect of various antibiotics on intestinal colonization with vancomycin-resistant enterococci in mice.9 In mice with established colonization, as evidenced by the high density of vancomycin-resistant enterococci in stool, . . .","DOI":"10.1056/NEJM200012283432604","ISSN":"0028-4793","note":"PMID: 11136263","author":[{"family":"Donskey","given":"Curtis J."},{"family":"Chowdhry","given":"Tanvir K."},{"family":"Hecker","given":"Michelle T."},{"family":"Hoyen","given":"Claudia K."},{"family":"Hanrahan","given":"Jennifer A."},{"family":"Hujer","given":"Andrea M."},{"family":"Hutton-Thomas","given":"Rebecca A."},{"family":"Whalen","given":"Christopher C."},{"family":"Bonomo","given":"Robert A."},{"family":"Rice","given":"Louis B."}],"issued":{"date-parts":[["2000",12,28]]},"PMID":"11136263"}}],"schema":"https://github.com/citation-style-language/schema/raw/master/csl-citation.json"} </w:instrText>
            </w:r>
            <w:r w:rsidR="00451253" w:rsidRPr="00C54618">
              <w:rPr>
                <w:rFonts w:ascii="Times New Roman" w:hAnsi="Times New Roman" w:cs="Times New Roman"/>
                <w:sz w:val="16"/>
                <w:szCs w:val="16"/>
                <w:lang w:val="en-US"/>
              </w:rPr>
              <w:fldChar w:fldCharType="separate"/>
            </w:r>
            <w:r w:rsidR="008C5DFA" w:rsidRPr="008C5DFA">
              <w:rPr>
                <w:rFonts w:ascii="Times New Roman" w:hAnsi="Times New Roman" w:cs="Times New Roman"/>
                <w:sz w:val="16"/>
                <w:szCs w:val="24"/>
              </w:rPr>
              <w:t>[10–13]</w:t>
            </w:r>
            <w:r w:rsidR="00451253" w:rsidRPr="00C54618">
              <w:rPr>
                <w:rFonts w:ascii="Times New Roman" w:hAnsi="Times New Roman" w:cs="Times New Roman"/>
                <w:sz w:val="16"/>
                <w:szCs w:val="16"/>
                <w:lang w:val="en-US"/>
              </w:rPr>
              <w:fldChar w:fldCharType="end"/>
            </w:r>
          </w:p>
          <w:p w:rsidR="00DC431D" w:rsidRPr="00C54618" w:rsidRDefault="00DC431D" w:rsidP="00904291">
            <w:pPr>
              <w:jc w:val="center"/>
              <w:rPr>
                <w:rFonts w:ascii="Times New Roman" w:hAnsi="Times New Roman" w:cs="Times New Roman"/>
                <w:sz w:val="16"/>
                <w:szCs w:val="16"/>
                <w:lang w:val="en-US"/>
              </w:rPr>
            </w:pPr>
          </w:p>
        </w:tc>
      </w:tr>
      <w:tr w:rsidR="00DC431D" w:rsidRPr="00D54669"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d</w:t>
            </w:r>
            <w:r w:rsidRPr="00C54618">
              <w:rPr>
                <w:rFonts w:ascii="Times New Roman" w:hAnsi="Times New Roman" w:cs="Times New Roman"/>
                <w:i/>
                <w:sz w:val="16"/>
                <w:szCs w:val="16"/>
                <w:vertAlign w:val="subscript"/>
                <w:lang w:val="en-GB"/>
              </w:rPr>
              <w:t>col</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Duration of colonisation (days)</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111</w:t>
            </w:r>
          </w:p>
        </w:tc>
        <w:tc>
          <w:tcPr>
            <w:tcW w:w="1354" w:type="dxa"/>
          </w:tcPr>
          <w:p w:rsidR="00DC431D" w:rsidRPr="00C54618" w:rsidRDefault="00A710A2" w:rsidP="007C16C9">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29b88nea7k","properties":{"formattedCitation":"[14]","plainCitation":"[14]"},"citationItems":[{"id":356,"uris":["http://zotero.org/users/local/hjvuTSYk/items/U4GIKZS4"],"uri":["http://zotero.org/users/local/hjvuTSYk/items/U4GIKZS4"],"itemData":{"id":356,"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J."}],"issued":{"date-parts":[["2017",1]]},"PMID":"27596534"}}],"schema":"https://github.com/citation-style-language/schema/raw/master/csl-citation.json"}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[14]</w:t>
            </w:r>
            <w:r w:rsidRPr="00C54618">
              <w:rPr>
                <w:rFonts w:ascii="Times New Roman" w:hAnsi="Times New Roman" w:cs="Times New Roman"/>
                <w:sz w:val="16"/>
                <w:szCs w:val="16"/>
                <w:lang w:val="en-GB"/>
              </w:rPr>
              <w:fldChar w:fldCharType="end"/>
            </w:r>
          </w:p>
        </w:tc>
        <w:tc>
          <w:tcPr>
            <w:tcW w:w="2544" w:type="dxa"/>
          </w:tcPr>
          <w:p w:rsidR="00DC431D" w:rsidRPr="00C54618" w:rsidRDefault="00E17FE6"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55</w:t>
            </w:r>
            <w:r w:rsidR="00DC431D" w:rsidRPr="00C54618">
              <w:rPr>
                <w:rFonts w:ascii="Times New Roman" w:hAnsi="Times New Roman" w:cs="Times New Roman"/>
                <w:sz w:val="16"/>
                <w:szCs w:val="16"/>
                <w:lang w:val="en-GB"/>
              </w:rPr>
              <w:t>-</w:t>
            </w:r>
            <w:r w:rsidRPr="00C54618">
              <w:rPr>
                <w:rFonts w:ascii="Times New Roman" w:hAnsi="Times New Roman" w:cs="Times New Roman"/>
                <w:sz w:val="16"/>
                <w:szCs w:val="16"/>
                <w:lang w:val="en-GB"/>
              </w:rPr>
              <w:t>217</w:t>
            </w:r>
            <w:r w:rsidR="00DC431D" w:rsidRPr="00C54618">
              <w:rPr>
                <w:rFonts w:ascii="Times New Roman" w:hAnsi="Times New Roman" w:cs="Times New Roman"/>
                <w:sz w:val="16"/>
                <w:szCs w:val="16"/>
                <w:lang w:val="en-GB"/>
              </w:rPr>
              <w:t xml:space="preserve"> </w:t>
            </w:r>
            <w:r w:rsidR="0034122D" w:rsidRPr="00C54618">
              <w:rPr>
                <w:rFonts w:ascii="Times New Roman" w:hAnsi="Times New Roman" w:cs="Times New Roman"/>
                <w:sz w:val="16"/>
                <w:szCs w:val="16"/>
                <w:vertAlign w:val="superscript"/>
                <w:lang w:val="en-US"/>
              </w:rPr>
              <w:t>14</w:t>
            </w:r>
          </w:p>
        </w:tc>
      </w:tr>
      <w:tr w:rsidR="00DC431D" w:rsidRPr="00D54669" w:rsidTr="00CC6CAC">
        <w:tc>
          <w:tcPr>
            <w:tcW w:w="1413" w:type="dxa"/>
            <w:shd w:val="clear" w:color="auto" w:fill="F2F2F2" w:themeFill="background1" w:themeFillShade="F2"/>
          </w:tcPr>
          <w:p w:rsidR="00DC431D" w:rsidRPr="00C54618" w:rsidRDefault="00DC431D" w:rsidP="00DC431D">
            <w:pPr>
              <w:jc w:val="both"/>
              <w:rPr>
                <w:rFonts w:ascii="Times New Roman" w:hAnsi="Times New Roman" w:cs="Times New Roman"/>
                <w:b/>
                <w:i/>
                <w:sz w:val="16"/>
                <w:szCs w:val="16"/>
                <w:lang w:val="en-GB"/>
              </w:rPr>
            </w:pPr>
          </w:p>
        </w:tc>
        <w:tc>
          <w:tcPr>
            <w:tcW w:w="3865" w:type="dxa"/>
            <w:shd w:val="clear" w:color="auto" w:fill="F2F2F2" w:themeFill="background1" w:themeFillShade="F2"/>
          </w:tcPr>
          <w:p w:rsidR="00DC431D" w:rsidRPr="00C54618" w:rsidRDefault="00DC431D" w:rsidP="00DC431D">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 xml:space="preserve">Background colonisation </w:t>
            </w:r>
          </w:p>
        </w:tc>
        <w:tc>
          <w:tcPr>
            <w:tcW w:w="1309" w:type="dxa"/>
            <w:shd w:val="clear" w:color="auto" w:fill="F2F2F2" w:themeFill="background1" w:themeFillShade="F2"/>
          </w:tcPr>
          <w:p w:rsidR="00DC431D" w:rsidRPr="00C54618" w:rsidRDefault="00DC431D" w:rsidP="00DC431D">
            <w:pPr>
              <w:jc w:val="center"/>
              <w:rPr>
                <w:rFonts w:ascii="Times New Roman" w:hAnsi="Times New Roman" w:cs="Times New Roman"/>
                <w:sz w:val="16"/>
                <w:szCs w:val="16"/>
                <w:lang w:val="en-GB"/>
              </w:rPr>
            </w:pPr>
          </w:p>
        </w:tc>
        <w:tc>
          <w:tcPr>
            <w:tcW w:w="1354" w:type="dxa"/>
            <w:shd w:val="clear" w:color="auto" w:fill="F2F2F2" w:themeFill="background1" w:themeFillShade="F2"/>
          </w:tcPr>
          <w:p w:rsidR="00DC431D" w:rsidRPr="00C54618" w:rsidRDefault="00DC431D" w:rsidP="00DC431D">
            <w:pPr>
              <w:jc w:val="both"/>
              <w:rPr>
                <w:rFonts w:ascii="Times New Roman" w:hAnsi="Times New Roman" w:cs="Times New Roman"/>
                <w:sz w:val="16"/>
                <w:szCs w:val="16"/>
                <w:lang w:val="en-GB"/>
              </w:rPr>
            </w:pPr>
          </w:p>
        </w:tc>
        <w:tc>
          <w:tcPr>
            <w:tcW w:w="2544" w:type="dxa"/>
            <w:shd w:val="clear" w:color="auto" w:fill="F2F2F2" w:themeFill="background1" w:themeFillShade="F2"/>
          </w:tcPr>
          <w:p w:rsidR="00DC431D" w:rsidRPr="00C54618" w:rsidRDefault="00DC431D" w:rsidP="00904291">
            <w:pPr>
              <w:jc w:val="center"/>
              <w:rPr>
                <w:rFonts w:ascii="Times New Roman" w:hAnsi="Times New Roman" w:cs="Times New Roman"/>
                <w:sz w:val="16"/>
                <w:szCs w:val="16"/>
                <w:lang w:val="en-GB"/>
              </w:rPr>
            </w:pPr>
          </w:p>
        </w:tc>
      </w:tr>
      <w:tr w:rsidR="00DC431D" w:rsidRPr="002C7656" w:rsidTr="00CC6CAC">
        <w:tc>
          <w:tcPr>
            <w:tcW w:w="1413" w:type="dxa"/>
          </w:tcPr>
          <w:p w:rsidR="00DC431D" w:rsidRPr="00C54618" w:rsidRDefault="00DC431D" w:rsidP="00DC431D">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p</w:t>
            </w:r>
            <w:r w:rsidRPr="00C54618">
              <w:rPr>
                <w:rFonts w:ascii="Times New Roman" w:hAnsi="Times New Roman" w:cs="Times New Roman"/>
                <w:i/>
                <w:sz w:val="16"/>
                <w:szCs w:val="16"/>
                <w:vertAlign w:val="subscript"/>
                <w:lang w:val="en-GB"/>
              </w:rPr>
              <w:t>col,env</w:t>
            </w:r>
            <w:proofErr w:type="spellEnd"/>
          </w:p>
        </w:tc>
        <w:tc>
          <w:tcPr>
            <w:tcW w:w="3865" w:type="dxa"/>
          </w:tcPr>
          <w:p w:rsidR="00DC431D" w:rsidRPr="00C54618" w:rsidRDefault="00DC431D" w:rsidP="00DC431D">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Daily probability of background colonisation</w:t>
            </w:r>
          </w:p>
        </w:tc>
        <w:tc>
          <w:tcPr>
            <w:tcW w:w="1309" w:type="dxa"/>
          </w:tcPr>
          <w:p w:rsidR="00DC431D" w:rsidRPr="00C54618" w:rsidRDefault="00DC431D" w:rsidP="00DC431D">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1</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5*10</w:t>
            </w:r>
            <w:r w:rsidRPr="00C54618">
              <w:rPr>
                <w:rFonts w:ascii="Times New Roman" w:hAnsi="Times New Roman" w:cs="Times New Roman"/>
                <w:sz w:val="16"/>
                <w:szCs w:val="16"/>
                <w:vertAlign w:val="superscript"/>
                <w:lang w:val="en-GB"/>
              </w:rPr>
              <w:t>-4</w:t>
            </w:r>
          </w:p>
        </w:tc>
        <w:tc>
          <w:tcPr>
            <w:tcW w:w="1354" w:type="dxa"/>
          </w:tcPr>
          <w:p w:rsidR="00DC431D" w:rsidRPr="00C54618" w:rsidRDefault="00DC431D" w:rsidP="00D632AD">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543793" w:rsidRPr="00C54618">
              <w:rPr>
                <w:rFonts w:ascii="Times New Roman" w:hAnsi="Times New Roman" w:cs="Times New Roman"/>
                <w:sz w:val="16"/>
                <w:szCs w:val="16"/>
                <w:lang w:val="en-GB"/>
              </w:rPr>
              <w:instrText xml:space="preserve"> ADDIN ZOTERO_ITEM CSL_CITATION {"citationID":"of3COAJe","properties":{"formattedCitation":"{\\rtf \\super 1,14\\nosupersub{}}","plainCitation":"1,14","dontUpdate":true},"citationItems":[{"id":356,"uris":["http://zotero.org/users/local/hjvuTSYk/items/U4GIKZS4"],"uri":["http://zotero.org/users/local/hjvuTSYk/items/U4GIKZS4"],"itemData":{"id":356,"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J."}],"issued":{"date-parts":[["2017",1]]},"PMID":"27596534"}},{"id":457,"uris":["http://zotero.org/users/local/hjvuTSYk/items/EQ2CM7GZ"],"uri":["http://zotero.org/users/local/hjvuTSYk/items/EQ2CM7GZ"],"itemData":{"id":457,"type":"article-journal","title":"Import and spread of extended-spectrum β-lactamase-producing Enterobacteriaceae by international travellers (COMBAT study): a prospective, multicentre cohort study","container-title":"The Lancet Infectious Diseases","page":"78-85","volume":"17","issue":"1","source":"www.thelancet.com","abstract":"&lt;h2&gt;Summary&lt;/h2&gt;&lt;h3&gt;Background&lt;/h3&gt;&lt;p&gt;International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transmission.&lt;/p&gt;&lt;h3&gt;Methods&lt;/h3&gt;&lt;p&gt;Within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NCT01676974.&lt;/p&gt;&lt;h3&gt;Findings&lt;/h3&gt;&lt;p&gt;633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5–18).&lt;/p&gt;&lt;h3&gt;Interpretation&lt;/h3&gt;&lt;p&gt;Acquisition and spread of ESBL-E during and after international travel was substantial and worrisome. Travellers to areas with a high risk of ESBL-E acquisition should be viewed as potential carriers of ESBL-E for up to 12 months after return.&lt;/p&gt;&lt;h3&gt;Funding&lt;/h3&gt;&lt;p&gt;Netherlands Organisation for Health Research and Development (ZonMw).&lt;/p&gt;","DOI":"10.1016/S1473-3099(16)30319-X","ISSN":"1473-3099, 1474-4457","note":"PMID: 27751772, 27751772","shortTitle":"Import and spread of extended-spectrum β-lactamase-producing Enterobacteriaceae by international travellers (COMBAT study)","journalAbbreviation":"The Lancet Infectious Diseases","language":"English","author":[{"family":"Arcilla","given":"Maris S."},{"family":"Hattem","given":"Jarne M.","dropping-particle":"van"},{"family":"Haverkate","given":"Manon R."},{"family":"Bootsma","given":"Martin C. J."},{"family":"Genderen","given":"Perry J. J.","dropping-particle":"van"},{"family":"Goorhuis","given":"Abraham"},{"family":"Grobusch","given":"Martin P."},{"family":"Lashof","given":"Astrid M. Oude"},{"family":"Molhoek","given":"Nicky"},{"family":"Schultsz","given":"Constance"},{"family":"Stobberingh","given":"Ellen E."},{"family":"Verbrugh","given":"Henri A."},{"family":"Jong","given":"Menno D.","dropping-particle":"de"},{"family":"Melles","given":"Damian C."},{"family":"Penders","given":"John"}],"issued":{"date-parts":[["2017",1,1]]},"PMID":"27751772"}}],"schema":"https://github.com/citation-style-language/schema/raw/master/csl-citation.json"} </w:instrText>
            </w:r>
            <w:r w:rsidRPr="00C54618">
              <w:rPr>
                <w:rFonts w:ascii="Times New Roman" w:hAnsi="Times New Roman" w:cs="Times New Roman"/>
                <w:sz w:val="16"/>
                <w:szCs w:val="16"/>
                <w:lang w:val="en-GB"/>
              </w:rPr>
              <w:fldChar w:fldCharType="separate"/>
            </w:r>
            <w:r w:rsidR="00D632AD" w:rsidRPr="00C54618">
              <w:rPr>
                <w:rFonts w:ascii="Times New Roman" w:hAnsi="Times New Roman" w:cs="Times New Roman"/>
                <w:sz w:val="16"/>
                <w:szCs w:val="16"/>
                <w:vertAlign w:val="superscript"/>
                <w:lang w:val="en-US"/>
              </w:rPr>
              <w:t>14</w:t>
            </w:r>
            <w:r w:rsidRPr="00C54618">
              <w:rPr>
                <w:rFonts w:ascii="Times New Roman" w:hAnsi="Times New Roman" w:cs="Times New Roman"/>
                <w:sz w:val="16"/>
                <w:szCs w:val="16"/>
                <w:lang w:val="en-GB"/>
              </w:rPr>
              <w:fldChar w:fldCharType="end"/>
            </w:r>
          </w:p>
        </w:tc>
        <w:tc>
          <w:tcPr>
            <w:tcW w:w="2544" w:type="dxa"/>
          </w:tcPr>
          <w:p w:rsidR="00DC431D" w:rsidRPr="00C54618" w:rsidRDefault="00DC431D"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2*10</w:t>
            </w:r>
            <w:r w:rsidRPr="00C54618">
              <w:rPr>
                <w:rFonts w:ascii="Times New Roman" w:hAnsi="Times New Roman" w:cs="Times New Roman"/>
                <w:sz w:val="16"/>
                <w:szCs w:val="16"/>
                <w:vertAlign w:val="superscript"/>
                <w:lang w:val="en-GB"/>
              </w:rPr>
              <w:t>-5</w:t>
            </w:r>
            <w:r w:rsidRPr="00C54618">
              <w:rPr>
                <w:rFonts w:ascii="Times New Roman" w:hAnsi="Times New Roman" w:cs="Times New Roman"/>
                <w:sz w:val="16"/>
                <w:szCs w:val="16"/>
                <w:lang w:val="en-GB"/>
              </w:rPr>
              <w:t xml:space="preserve"> – 9*10</w:t>
            </w:r>
            <w:r w:rsidRPr="00C54618">
              <w:rPr>
                <w:rFonts w:ascii="Times New Roman" w:hAnsi="Times New Roman" w:cs="Times New Roman"/>
                <w:sz w:val="16"/>
                <w:szCs w:val="16"/>
                <w:vertAlign w:val="superscript"/>
                <w:lang w:val="en-GB"/>
              </w:rPr>
              <w:t>-4</w:t>
            </w:r>
            <w:r w:rsidR="00A710A2" w:rsidRPr="00C54618">
              <w:rPr>
                <w:rFonts w:ascii="Times New Roman" w:hAnsi="Times New Roman" w:cs="Times New Roman"/>
                <w:sz w:val="16"/>
                <w:szCs w:val="16"/>
                <w:vertAlign w:val="superscript"/>
                <w:lang w:val="en-GB"/>
              </w:rPr>
              <w:t xml:space="preserve">  </w:t>
            </w:r>
            <w:r w:rsidR="00A710A2"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C33m4rio","properties":{"formattedCitation":"[1,14]","plainCitation":"[1,14]"},"citationItems":[{"id":356,"uris":["http://zotero.org/users/local/hjvuTSYk/items/U4GIKZS4"],"uri":["http://zotero.org/users/local/hjvuTSYk/items/U4GIKZS4"],"itemData":{"id":356,"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J."}],"issued":{"date-parts":[["2017",1]]},"PMID":"27596534"}},{"id":457,"uris":["http://zotero.org/users/local/hjvuTSYk/items/EQ2CM7GZ"],"uri":["http://zotero.org/users/local/hjvuTSYk/items/EQ2CM7GZ"],"itemData":{"id":457,"type":"article-journal","title":"Import and spread of extended-spectrum β-lactamase-producing Enterobacteriaceae by international travellers (COMBAT study): a prospective, multicentre cohort study","container-title":"The Lancet Infectious Diseases","page":"78-85","volume":"17","issue":"1","source":"www.thelancet.com","abstract":"&lt;h2&gt;Summary&lt;/h2&gt;&lt;h3&gt;Background&lt;/h3&gt;&lt;p&gt;International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transmission.&lt;/p&gt;&lt;h3&gt;Methods&lt;/h3&gt;&lt;p&gt;Within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NCT01676974.&lt;/p&gt;&lt;h3&gt;Findings&lt;/h3&gt;&lt;p&gt;633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5–18).&lt;/p&gt;&lt;h3&gt;Interpretation&lt;/h3&gt;&lt;p&gt;Acquisition and spread of ESBL-E during and after international travel was substantial and worrisome. Travellers to areas with a high risk of ESBL-E acquisition should be viewed as potential carriers of ESBL-E for up to 12 months after return.&lt;/p&gt;&lt;h3&gt;Funding&lt;/h3&gt;&lt;p&gt;Netherlands Organisation for Health Research and Development (ZonMw).&lt;/p&gt;","DOI":"10.1016/S1473-3099(16)30319-X","ISSN":"1473-3099, 1474-4457","note":"PMID: 27751772, 27751772","shortTitle":"Import and spread of extended-spectrum β-lactamase-producing Enterobacteriaceae by international travellers (COMBAT study)","journalAbbreviation":"The Lancet Infectious Diseases","language":"English","author":[{"family":"Arcilla","given":"Maris S."},{"family":"Hattem","given":"Jarne M.","dropping-particle":"van"},{"family":"Haverkate","given":"Manon R."},{"family":"Bootsma","given":"Martin C. J."},{"family":"Genderen","given":"Perry J. J.","dropping-particle":"van"},{"family":"Goorhuis","given":"Abraham"},{"family":"Grobusch","given":"Martin P."},{"family":"Lashof","given":"Astrid M. Oude"},{"family":"Molhoek","given":"Nicky"},{"family":"Schultsz","given":"Constance"},{"family":"Stobberingh","given":"Ellen E."},{"family":"Verbrugh","given":"Henri A."},{"family":"Jong","given":"Menno D.","dropping-particle":"de"},{"family":"Melles","given":"Damian C."},{"family":"Penders","given":"John"}],"issued":{"date-parts":[["2017",1,1]]},"PMID":"27751772"}}],"schema":"https://github.com/citation-style-language/schema/raw/master/csl-citation.json"} </w:instrText>
            </w:r>
            <w:r w:rsidR="00A710A2"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lang w:val="en-US"/>
              </w:rPr>
              <w:t>[1,14]</w:t>
            </w:r>
            <w:r w:rsidR="00A710A2" w:rsidRPr="00C54618">
              <w:rPr>
                <w:rFonts w:ascii="Times New Roman" w:hAnsi="Times New Roman" w:cs="Times New Roman"/>
                <w:sz w:val="16"/>
                <w:szCs w:val="16"/>
                <w:lang w:val="en-GB"/>
              </w:rPr>
              <w:fldChar w:fldCharType="end"/>
            </w:r>
          </w:p>
        </w:tc>
      </w:tr>
      <w:tr w:rsidR="00197BF9" w:rsidRPr="002C7656" w:rsidTr="00CC6CAC">
        <w:tc>
          <w:tcPr>
            <w:tcW w:w="1413" w:type="dxa"/>
          </w:tcPr>
          <w:p w:rsidR="00197BF9" w:rsidRPr="00C54618" w:rsidRDefault="00197BF9" w:rsidP="00197BF9">
            <w:pPr>
              <w:jc w:val="both"/>
              <w:rPr>
                <w:rFonts w:ascii="Times New Roman" w:hAnsi="Times New Roman" w:cs="Times New Roman"/>
                <w:i/>
                <w:sz w:val="16"/>
                <w:szCs w:val="16"/>
                <w:lang w:val="en-GB"/>
              </w:rPr>
            </w:pPr>
          </w:p>
        </w:tc>
        <w:tc>
          <w:tcPr>
            <w:tcW w:w="3865" w:type="dxa"/>
          </w:tcPr>
          <w:p w:rsidR="00197BF9" w:rsidRPr="00C54618" w:rsidRDefault="00197BF9" w:rsidP="00197BF9">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Hand hygiene after changing diapers</w:t>
            </w:r>
          </w:p>
        </w:tc>
        <w:tc>
          <w:tcPr>
            <w:tcW w:w="1309" w:type="dxa"/>
          </w:tcPr>
          <w:p w:rsidR="00197BF9" w:rsidRPr="00C54618" w:rsidRDefault="00197BF9" w:rsidP="00197BF9">
            <w:pPr>
              <w:jc w:val="center"/>
              <w:rPr>
                <w:rFonts w:ascii="Times New Roman" w:hAnsi="Times New Roman" w:cs="Times New Roman"/>
                <w:sz w:val="16"/>
                <w:szCs w:val="16"/>
                <w:lang w:val="en-GB"/>
              </w:rPr>
            </w:pPr>
          </w:p>
        </w:tc>
        <w:tc>
          <w:tcPr>
            <w:tcW w:w="1354" w:type="dxa"/>
          </w:tcPr>
          <w:p w:rsidR="00197BF9" w:rsidRPr="00C54618" w:rsidRDefault="00197BF9" w:rsidP="00197BF9">
            <w:pPr>
              <w:rPr>
                <w:rFonts w:ascii="Times New Roman" w:hAnsi="Times New Roman" w:cs="Times New Roman"/>
                <w:sz w:val="16"/>
                <w:szCs w:val="16"/>
                <w:lang w:val="en-GB"/>
              </w:rPr>
            </w:pPr>
          </w:p>
        </w:tc>
        <w:tc>
          <w:tcPr>
            <w:tcW w:w="2544" w:type="dxa"/>
          </w:tcPr>
          <w:p w:rsidR="00197BF9" w:rsidRPr="00C54618" w:rsidRDefault="00197BF9" w:rsidP="00904291">
            <w:pPr>
              <w:jc w:val="center"/>
              <w:rPr>
                <w:rFonts w:ascii="Times New Roman" w:hAnsi="Times New Roman" w:cs="Times New Roman"/>
                <w:sz w:val="16"/>
                <w:szCs w:val="16"/>
                <w:lang w:val="en-GB"/>
              </w:rPr>
            </w:pPr>
          </w:p>
        </w:tc>
      </w:tr>
      <w:tr w:rsidR="00CC6CAC" w:rsidRPr="00D54669" w:rsidTr="00CC6CAC">
        <w:tc>
          <w:tcPr>
            <w:tcW w:w="1413" w:type="dxa"/>
          </w:tcPr>
          <w:p w:rsidR="00CC6CAC" w:rsidRPr="00C54618" w:rsidRDefault="00CC6CAC" w:rsidP="00CC6CAC">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d,w</w:t>
            </w:r>
            <w:proofErr w:type="spellEnd"/>
          </w:p>
        </w:tc>
        <w:tc>
          <w:tcPr>
            <w:tcW w:w="3865" w:type="dxa"/>
          </w:tcPr>
          <w:p w:rsidR="00CC6CAC" w:rsidRPr="00C54618" w:rsidRDefault="00CC6CAC" w:rsidP="00A7408A">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HH </w:t>
            </w:r>
            <w:r w:rsidR="004D7625" w:rsidRPr="00C54618">
              <w:rPr>
                <w:rFonts w:ascii="Times New Roman" w:hAnsi="Times New Roman" w:cs="Times New Roman"/>
                <w:sz w:val="16"/>
                <w:szCs w:val="16"/>
                <w:lang w:val="en-GB"/>
              </w:rPr>
              <w:t>among</w:t>
            </w:r>
            <w:r w:rsidRPr="00C54618">
              <w:rPr>
                <w:rFonts w:ascii="Times New Roman" w:hAnsi="Times New Roman" w:cs="Times New Roman"/>
                <w:sz w:val="16"/>
                <w:szCs w:val="16"/>
                <w:lang w:val="en-GB"/>
              </w:rPr>
              <w:t xml:space="preserve"> wom</w:t>
            </w:r>
            <w:r w:rsidR="004D7625" w:rsidRPr="00C54618">
              <w:rPr>
                <w:rFonts w:ascii="Times New Roman" w:hAnsi="Times New Roman" w:cs="Times New Roman"/>
                <w:sz w:val="16"/>
                <w:szCs w:val="16"/>
                <w:lang w:val="en-GB"/>
              </w:rPr>
              <w:t>e</w:t>
            </w:r>
            <w:r w:rsidRPr="00C54618">
              <w:rPr>
                <w:rFonts w:ascii="Times New Roman" w:hAnsi="Times New Roman" w:cs="Times New Roman"/>
                <w:sz w:val="16"/>
                <w:szCs w:val="16"/>
                <w:lang w:val="en-GB"/>
              </w:rPr>
              <w:t>n</w:t>
            </w:r>
          </w:p>
        </w:tc>
        <w:tc>
          <w:tcPr>
            <w:tcW w:w="1309" w:type="dxa"/>
          </w:tcPr>
          <w:p w:rsidR="00CC6CAC" w:rsidRPr="00C54618" w:rsidRDefault="00CC6CAC" w:rsidP="00CC6CAC">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6</w:t>
            </w:r>
          </w:p>
        </w:tc>
        <w:tc>
          <w:tcPr>
            <w:tcW w:w="1354" w:type="dxa"/>
          </w:tcPr>
          <w:p w:rsidR="00CC6CAC" w:rsidRPr="00C54618" w:rsidRDefault="00E8686F" w:rsidP="00E8686F">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vosdl6f54","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CC6CAC" w:rsidRPr="00C54618" w:rsidRDefault="00CC6CAC"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9</w:t>
            </w:r>
          </w:p>
        </w:tc>
      </w:tr>
      <w:tr w:rsidR="00CC6CAC" w:rsidRPr="00D54669" w:rsidTr="00CC6CAC">
        <w:tc>
          <w:tcPr>
            <w:tcW w:w="1413" w:type="dxa"/>
          </w:tcPr>
          <w:p w:rsidR="00CC6CAC" w:rsidRPr="00C54618" w:rsidRDefault="00CC6CAC" w:rsidP="00CC6CAC">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d,m</w:t>
            </w:r>
            <w:proofErr w:type="spellEnd"/>
          </w:p>
        </w:tc>
        <w:tc>
          <w:tcPr>
            <w:tcW w:w="3865" w:type="dxa"/>
          </w:tcPr>
          <w:p w:rsidR="00CC6CAC" w:rsidRPr="00C54618" w:rsidRDefault="00CC6CAC" w:rsidP="00A7408A">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 xml:space="preserve">HH </w:t>
            </w:r>
            <w:r w:rsidR="004D7625" w:rsidRPr="00C54618">
              <w:rPr>
                <w:rFonts w:ascii="Times New Roman" w:hAnsi="Times New Roman" w:cs="Times New Roman"/>
                <w:sz w:val="16"/>
                <w:szCs w:val="16"/>
                <w:lang w:val="en-GB"/>
              </w:rPr>
              <w:t>among</w:t>
            </w:r>
            <w:r w:rsidRPr="00C54618">
              <w:rPr>
                <w:rFonts w:ascii="Times New Roman" w:hAnsi="Times New Roman" w:cs="Times New Roman"/>
                <w:sz w:val="16"/>
                <w:szCs w:val="16"/>
                <w:lang w:val="en-GB"/>
              </w:rPr>
              <w:t xml:space="preserve"> m</w:t>
            </w:r>
            <w:r w:rsidR="004D7625" w:rsidRPr="00C54618">
              <w:rPr>
                <w:rFonts w:ascii="Times New Roman" w:hAnsi="Times New Roman" w:cs="Times New Roman"/>
                <w:sz w:val="16"/>
                <w:szCs w:val="16"/>
                <w:lang w:val="en-GB"/>
              </w:rPr>
              <w:t>e</w:t>
            </w:r>
            <w:r w:rsidRPr="00C54618">
              <w:rPr>
                <w:rFonts w:ascii="Times New Roman" w:hAnsi="Times New Roman" w:cs="Times New Roman"/>
                <w:sz w:val="16"/>
                <w:szCs w:val="16"/>
                <w:lang w:val="en-GB"/>
              </w:rPr>
              <w:t>n</w:t>
            </w:r>
          </w:p>
        </w:tc>
        <w:tc>
          <w:tcPr>
            <w:tcW w:w="1309" w:type="dxa"/>
          </w:tcPr>
          <w:p w:rsidR="00CC6CAC" w:rsidRPr="00C54618" w:rsidRDefault="004D7625" w:rsidP="00CC6CAC">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p>
        </w:tc>
        <w:tc>
          <w:tcPr>
            <w:tcW w:w="1354" w:type="dxa"/>
          </w:tcPr>
          <w:p w:rsidR="00CC6CAC" w:rsidRPr="00C54618" w:rsidRDefault="00E8686F" w:rsidP="00CC6CAC">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lzCDAVrb","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CC6CAC" w:rsidRPr="00C54618" w:rsidRDefault="004D7625"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25-0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75</w:t>
            </w:r>
          </w:p>
        </w:tc>
      </w:tr>
      <w:tr w:rsidR="00197BF9" w:rsidRPr="002C7656" w:rsidTr="00CC6CAC">
        <w:tc>
          <w:tcPr>
            <w:tcW w:w="1413" w:type="dxa"/>
          </w:tcPr>
          <w:p w:rsidR="00197BF9" w:rsidRPr="00C54618" w:rsidRDefault="00197BF9" w:rsidP="00197BF9">
            <w:pPr>
              <w:jc w:val="both"/>
              <w:rPr>
                <w:rFonts w:ascii="Times New Roman" w:hAnsi="Times New Roman" w:cs="Times New Roman"/>
                <w:i/>
                <w:sz w:val="16"/>
                <w:szCs w:val="16"/>
                <w:lang w:val="en-GB"/>
              </w:rPr>
            </w:pPr>
          </w:p>
        </w:tc>
        <w:tc>
          <w:tcPr>
            <w:tcW w:w="3865" w:type="dxa"/>
          </w:tcPr>
          <w:p w:rsidR="00197BF9" w:rsidRPr="00C54618" w:rsidRDefault="00197BF9" w:rsidP="00197BF9">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 xml:space="preserve">Hand hygiene after using </w:t>
            </w:r>
            <w:r w:rsidR="00A273F2" w:rsidRPr="00C54618">
              <w:rPr>
                <w:rFonts w:ascii="Times New Roman" w:hAnsi="Times New Roman" w:cs="Times New Roman"/>
                <w:b/>
                <w:sz w:val="16"/>
                <w:szCs w:val="16"/>
                <w:lang w:val="en-GB"/>
              </w:rPr>
              <w:t>the toilet</w:t>
            </w:r>
          </w:p>
        </w:tc>
        <w:tc>
          <w:tcPr>
            <w:tcW w:w="1309" w:type="dxa"/>
          </w:tcPr>
          <w:p w:rsidR="00197BF9" w:rsidRPr="00C54618" w:rsidRDefault="00197BF9" w:rsidP="00197BF9">
            <w:pPr>
              <w:jc w:val="center"/>
              <w:rPr>
                <w:rFonts w:ascii="Times New Roman" w:hAnsi="Times New Roman" w:cs="Times New Roman"/>
                <w:sz w:val="16"/>
                <w:szCs w:val="16"/>
                <w:lang w:val="en-GB"/>
              </w:rPr>
            </w:pPr>
          </w:p>
        </w:tc>
        <w:tc>
          <w:tcPr>
            <w:tcW w:w="1354" w:type="dxa"/>
          </w:tcPr>
          <w:p w:rsidR="00197BF9" w:rsidRPr="00C54618" w:rsidRDefault="00197BF9" w:rsidP="00197BF9">
            <w:pPr>
              <w:rPr>
                <w:rFonts w:ascii="Times New Roman" w:hAnsi="Times New Roman" w:cs="Times New Roman"/>
                <w:sz w:val="16"/>
                <w:szCs w:val="16"/>
                <w:lang w:val="en-GB"/>
              </w:rPr>
            </w:pPr>
          </w:p>
        </w:tc>
        <w:tc>
          <w:tcPr>
            <w:tcW w:w="2544" w:type="dxa"/>
          </w:tcPr>
          <w:p w:rsidR="00197BF9" w:rsidRPr="00C54618" w:rsidRDefault="00197BF9" w:rsidP="00904291">
            <w:pPr>
              <w:jc w:val="center"/>
              <w:rPr>
                <w:rFonts w:ascii="Times New Roman" w:hAnsi="Times New Roman" w:cs="Times New Roman"/>
                <w:sz w:val="16"/>
                <w:szCs w:val="16"/>
                <w:lang w:val="en-GB"/>
              </w:rPr>
            </w:pP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t,w</w:t>
            </w:r>
            <w:proofErr w:type="spellEnd"/>
          </w:p>
        </w:tc>
        <w:tc>
          <w:tcPr>
            <w:tcW w:w="3865" w:type="dxa"/>
          </w:tcPr>
          <w:p w:rsidR="00366DDE" w:rsidRPr="00C54618" w:rsidRDefault="00366DDE" w:rsidP="00366DDE">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women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4</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hm25tuwo","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2-0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6</w:t>
            </w: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t,m</w:t>
            </w:r>
            <w:proofErr w:type="spellEnd"/>
          </w:p>
        </w:tc>
        <w:tc>
          <w:tcPr>
            <w:tcW w:w="3865" w:type="dxa"/>
          </w:tcPr>
          <w:p w:rsidR="00366DDE" w:rsidRPr="00C54618" w:rsidRDefault="00366DDE" w:rsidP="00366DDE">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men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17</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hcXQo0DB","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085-0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255</w:t>
            </w: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t,ch</w:t>
            </w:r>
            <w:proofErr w:type="spellEnd"/>
          </w:p>
        </w:tc>
        <w:tc>
          <w:tcPr>
            <w:tcW w:w="3865" w:type="dxa"/>
          </w:tcPr>
          <w:p w:rsidR="00366DDE" w:rsidRPr="00C54618" w:rsidRDefault="00366DDE" w:rsidP="00366DDE">
            <w:pPr>
              <w:jc w:val="both"/>
              <w:rPr>
                <w:rFonts w:ascii="Times New Roman" w:hAnsi="Times New Roman" w:cs="Times New Roman"/>
                <w:b/>
                <w:sz w:val="16"/>
                <w:szCs w:val="16"/>
                <w:lang w:val="en-GB"/>
              </w:rPr>
            </w:pPr>
            <w:r w:rsidRPr="00C54618">
              <w:rPr>
                <w:rFonts w:ascii="Times New Roman" w:hAnsi="Times New Roman" w:cs="Times New Roman"/>
                <w:sz w:val="16"/>
                <w:szCs w:val="16"/>
                <w:lang w:val="en-GB"/>
              </w:rPr>
              <w:t>HH among children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29</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Rch0fDsJ","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145-0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435</w:t>
            </w:r>
          </w:p>
        </w:tc>
      </w:tr>
      <w:tr w:rsidR="00EC6C42" w:rsidRPr="00D54669" w:rsidTr="00CC6CAC">
        <w:tc>
          <w:tcPr>
            <w:tcW w:w="1413" w:type="dxa"/>
          </w:tcPr>
          <w:p w:rsidR="00EC6C42" w:rsidRPr="00C54618" w:rsidRDefault="00EC6C42" w:rsidP="00EC6C42">
            <w:pPr>
              <w:jc w:val="both"/>
              <w:rPr>
                <w:rFonts w:ascii="Times New Roman" w:hAnsi="Times New Roman" w:cs="Times New Roman"/>
                <w:i/>
                <w:sz w:val="16"/>
                <w:szCs w:val="16"/>
                <w:lang w:val="en-GB"/>
              </w:rPr>
            </w:pPr>
          </w:p>
        </w:tc>
        <w:tc>
          <w:tcPr>
            <w:tcW w:w="3865" w:type="dxa"/>
          </w:tcPr>
          <w:p w:rsidR="00EC6C42" w:rsidRPr="00C54618" w:rsidRDefault="002D7C2D" w:rsidP="00EC6C42">
            <w:pPr>
              <w:jc w:val="both"/>
              <w:rPr>
                <w:rFonts w:ascii="Times New Roman" w:hAnsi="Times New Roman" w:cs="Times New Roman"/>
                <w:b/>
                <w:sz w:val="16"/>
                <w:szCs w:val="16"/>
                <w:lang w:val="en-GB"/>
              </w:rPr>
            </w:pPr>
            <w:r w:rsidRPr="00C54618">
              <w:rPr>
                <w:rFonts w:ascii="Times New Roman" w:hAnsi="Times New Roman" w:cs="Times New Roman"/>
                <w:b/>
                <w:sz w:val="16"/>
                <w:szCs w:val="16"/>
                <w:lang w:val="en-GB"/>
              </w:rPr>
              <w:t>Hand hygiene before eating</w:t>
            </w:r>
          </w:p>
        </w:tc>
        <w:tc>
          <w:tcPr>
            <w:tcW w:w="1309" w:type="dxa"/>
          </w:tcPr>
          <w:p w:rsidR="00EC6C42" w:rsidRPr="00C54618" w:rsidRDefault="00EC6C42" w:rsidP="00EC6C42">
            <w:pPr>
              <w:jc w:val="center"/>
              <w:rPr>
                <w:rFonts w:ascii="Times New Roman" w:hAnsi="Times New Roman" w:cs="Times New Roman"/>
                <w:sz w:val="16"/>
                <w:szCs w:val="16"/>
                <w:lang w:val="en-GB"/>
              </w:rPr>
            </w:pPr>
          </w:p>
        </w:tc>
        <w:tc>
          <w:tcPr>
            <w:tcW w:w="1354" w:type="dxa"/>
          </w:tcPr>
          <w:p w:rsidR="00EC6C42" w:rsidRPr="00C54618" w:rsidRDefault="00EC6C42" w:rsidP="00EC6C42">
            <w:pPr>
              <w:rPr>
                <w:rFonts w:ascii="Times New Roman" w:hAnsi="Times New Roman" w:cs="Times New Roman"/>
                <w:sz w:val="16"/>
                <w:szCs w:val="16"/>
                <w:lang w:val="en-GB"/>
              </w:rPr>
            </w:pPr>
          </w:p>
        </w:tc>
        <w:tc>
          <w:tcPr>
            <w:tcW w:w="2544" w:type="dxa"/>
          </w:tcPr>
          <w:p w:rsidR="00EC6C42" w:rsidRPr="00C54618" w:rsidRDefault="00EC6C42" w:rsidP="00904291">
            <w:pPr>
              <w:jc w:val="center"/>
              <w:rPr>
                <w:rFonts w:ascii="Times New Roman" w:hAnsi="Times New Roman" w:cs="Times New Roman"/>
                <w:sz w:val="16"/>
                <w:szCs w:val="16"/>
                <w:lang w:val="en-GB"/>
              </w:rPr>
            </w:pP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e,w</w:t>
            </w:r>
            <w:proofErr w:type="spellEnd"/>
          </w:p>
        </w:tc>
        <w:tc>
          <w:tcPr>
            <w:tcW w:w="3865" w:type="dxa"/>
          </w:tcPr>
          <w:p w:rsidR="00366DDE" w:rsidRPr="00C54618" w:rsidRDefault="00366DDE" w:rsidP="00366DDE">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women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36</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wH6Y67rB","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18-0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54</w:t>
            </w: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e,m</w:t>
            </w:r>
            <w:proofErr w:type="spellEnd"/>
          </w:p>
        </w:tc>
        <w:tc>
          <w:tcPr>
            <w:tcW w:w="3865" w:type="dxa"/>
          </w:tcPr>
          <w:p w:rsidR="00366DDE" w:rsidRPr="00C54618" w:rsidRDefault="00366DDE" w:rsidP="00366DDE">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men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33</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foSGP8U6","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165-0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495</w:t>
            </w:r>
          </w:p>
        </w:tc>
      </w:tr>
      <w:tr w:rsidR="00366DDE" w:rsidRPr="00D54669" w:rsidTr="00CC6CAC">
        <w:tc>
          <w:tcPr>
            <w:tcW w:w="1413" w:type="dxa"/>
          </w:tcPr>
          <w:p w:rsidR="00366DDE" w:rsidRPr="00C54618" w:rsidRDefault="00366DDE" w:rsidP="00366DDE">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e,ch</w:t>
            </w:r>
            <w:proofErr w:type="spellEnd"/>
          </w:p>
        </w:tc>
        <w:tc>
          <w:tcPr>
            <w:tcW w:w="3865" w:type="dxa"/>
          </w:tcPr>
          <w:p w:rsidR="00366DDE" w:rsidRPr="00C54618" w:rsidRDefault="00366DDE" w:rsidP="00366DDE">
            <w:pPr>
              <w:jc w:val="both"/>
              <w:rPr>
                <w:rFonts w:ascii="Times New Roman" w:hAnsi="Times New Roman" w:cs="Times New Roman"/>
                <w:b/>
                <w:sz w:val="16"/>
                <w:szCs w:val="16"/>
                <w:lang w:val="en-GB"/>
              </w:rPr>
            </w:pPr>
            <w:r w:rsidRPr="00C54618">
              <w:rPr>
                <w:rFonts w:ascii="Times New Roman" w:hAnsi="Times New Roman" w:cs="Times New Roman"/>
                <w:sz w:val="16"/>
                <w:szCs w:val="16"/>
                <w:lang w:val="en-GB"/>
              </w:rPr>
              <w:t>HH among children</w:t>
            </w:r>
          </w:p>
        </w:tc>
        <w:tc>
          <w:tcPr>
            <w:tcW w:w="1309" w:type="dxa"/>
          </w:tcPr>
          <w:p w:rsidR="00366DDE" w:rsidRPr="00C54618" w:rsidRDefault="00366DDE" w:rsidP="00366DDE">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p>
        </w:tc>
        <w:tc>
          <w:tcPr>
            <w:tcW w:w="1354" w:type="dxa"/>
          </w:tcPr>
          <w:p w:rsidR="00366DDE" w:rsidRPr="00C54618" w:rsidRDefault="00E8686F" w:rsidP="00366DDE">
            <w:pPr>
              <w:rPr>
                <w:rFonts w:ascii="Times New Roman" w:hAnsi="Times New Roman" w:cs="Times New Roman"/>
                <w:sz w:val="16"/>
                <w:szCs w:val="16"/>
                <w:lang w:val="en-GB"/>
              </w:rPr>
            </w:pPr>
            <w:r w:rsidRPr="00C54618">
              <w:rPr>
                <w:rFonts w:ascii="Times New Roman" w:hAnsi="Times New Roman" w:cs="Times New Roman"/>
                <w:sz w:val="16"/>
                <w:szCs w:val="16"/>
                <w:lang w:val="en-GB"/>
              </w:rPr>
              <w:fldChar w:fldCharType="begin"/>
            </w:r>
            <w:r w:rsidR="008C5DFA">
              <w:rPr>
                <w:rFonts w:ascii="Times New Roman" w:hAnsi="Times New Roman" w:cs="Times New Roman"/>
                <w:sz w:val="16"/>
                <w:szCs w:val="16"/>
                <w:lang w:val="en-GB"/>
              </w:rPr>
              <w:instrText xml:space="preserve"> ADDIN ZOTERO_ITEM CSL_CITATION {"citationID":"sCT0cXK1","properties":{"formattedCitation":"[15]","plainCitation":"[15]"},"citationItems":[{"id":293,"uris":["http://zotero.org/users/local/hjvuTSYk/items/5J2C7TG5"],"uri":["http://zotero.org/users/local/hjvuTSYk/items/5J2C7TG5"],"itemData":{"id":293,"type":"article-journal","title":"Comparative assessment of primary and secondary infection risks in a norovirus outbreak using a household model simulation","container-title":"Journal of Environmental Sciences (China)","page":"13-20","volume":"50","source":"PubMed","abstract":"Diarrheal diseases can be transmitted via both primary infection due to exposures to contaminated materials from the environment and secondary infection due to person-to-person contacts. Usually, the importance of secondary infection is empirically assessed by fitting mathematical models to the epidemic curves. However, these empirical models may not be applicable to other epidemic cases because they are developed only for the target epidemics and they don't consider the detail routes of infection. In our previous study, we developed a theoretical model taking into account the various routes of infection that commonly occur in households (e.g., shaking hands, food handling, and changing diapers). This model was made flexible and applicable to any epidemics by means of adjusting model parameters. In this study, we proposed a new index \"Vulnerability indicator to secondary infection (VISI)\", which expressed a ratio of secondary infection to primary infection risks and calculated this index in a simulated norovirus (NoV) epidemic that involved 10,000 households. The results demonstrated that households composed of more than three members including infant(s) had much higher levels of VISI (5-45) than two-member-households with VISI (0.1-4). These results concluded that the infants were likely to be a hub of secondary infections in highly dense families and therefore careful handling of diapers was deemed indispensible in such families to effectively control the secondary infections.","DOI":"10.1016/j.jes.2016.05.041","ISSN":"1001-0742","note":"PMID: 28034424","journalAbbreviation":"J Environ Sci (China)","language":"eng","author":[{"family":"Miura","given":"Fuminari"},{"family":"Watanabe","given":"Toru"},{"family":"Watanabe","given":"Kozo"},{"family":"Takemoto","given":"Kazuhiko"},{"family":"Fukushi","given":"Kensuke"}],"issued":{"date-parts":[["2016",12]]},"PMID":"28034424"}}],"schema":"https://github.com/citation-style-language/schema/raw/master/csl-citation.json"} </w:instrText>
            </w:r>
            <w:r w:rsidRPr="00C54618">
              <w:rPr>
                <w:rFonts w:ascii="Times New Roman" w:hAnsi="Times New Roman" w:cs="Times New Roman"/>
                <w:sz w:val="16"/>
                <w:szCs w:val="16"/>
                <w:lang w:val="en-GB"/>
              </w:rPr>
              <w:fldChar w:fldCharType="separate"/>
            </w:r>
            <w:r w:rsidR="008C5DFA" w:rsidRPr="008C5DFA">
              <w:rPr>
                <w:rFonts w:ascii="Times New Roman" w:hAnsi="Times New Roman" w:cs="Times New Roman"/>
                <w:sz w:val="16"/>
              </w:rPr>
              <w:t>[15]</w:t>
            </w:r>
            <w:r w:rsidRPr="00C54618">
              <w:rPr>
                <w:rFonts w:ascii="Times New Roman" w:hAnsi="Times New Roman" w:cs="Times New Roman"/>
                <w:sz w:val="16"/>
                <w:szCs w:val="16"/>
                <w:lang w:val="en-GB"/>
              </w:rPr>
              <w:fldChar w:fldCharType="end"/>
            </w:r>
          </w:p>
        </w:tc>
        <w:tc>
          <w:tcPr>
            <w:tcW w:w="2544" w:type="dxa"/>
          </w:tcPr>
          <w:p w:rsidR="00366DDE" w:rsidRPr="00C54618" w:rsidRDefault="00366DDE"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25-0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75</w:t>
            </w:r>
          </w:p>
        </w:tc>
      </w:tr>
      <w:tr w:rsidR="005E69BB" w:rsidRPr="002C7656" w:rsidTr="00CC6CAC">
        <w:tc>
          <w:tcPr>
            <w:tcW w:w="1413" w:type="dxa"/>
          </w:tcPr>
          <w:p w:rsidR="005E69BB" w:rsidRPr="00C54618" w:rsidRDefault="005E69BB" w:rsidP="00366DDE">
            <w:pPr>
              <w:jc w:val="both"/>
              <w:rPr>
                <w:rFonts w:ascii="Times New Roman" w:hAnsi="Times New Roman" w:cs="Times New Roman"/>
                <w:i/>
                <w:sz w:val="16"/>
                <w:szCs w:val="16"/>
                <w:lang w:val="en-GB"/>
              </w:rPr>
            </w:pPr>
          </w:p>
        </w:tc>
        <w:tc>
          <w:tcPr>
            <w:tcW w:w="3865" w:type="dxa"/>
          </w:tcPr>
          <w:p w:rsidR="005E69BB" w:rsidRPr="00C54618" w:rsidRDefault="005E69BB" w:rsidP="005E69BB">
            <w:pPr>
              <w:jc w:val="both"/>
              <w:rPr>
                <w:rFonts w:ascii="Times New Roman" w:hAnsi="Times New Roman" w:cs="Times New Roman"/>
                <w:sz w:val="16"/>
                <w:szCs w:val="16"/>
                <w:lang w:val="en-GB"/>
              </w:rPr>
            </w:pPr>
            <w:r w:rsidRPr="00C54618">
              <w:rPr>
                <w:rFonts w:ascii="Times New Roman" w:hAnsi="Times New Roman" w:cs="Times New Roman"/>
                <w:b/>
                <w:sz w:val="16"/>
                <w:szCs w:val="16"/>
                <w:lang w:val="en-GB"/>
              </w:rPr>
              <w:t>Hand hygiene before feeding a baby</w:t>
            </w:r>
          </w:p>
        </w:tc>
        <w:tc>
          <w:tcPr>
            <w:tcW w:w="1309" w:type="dxa"/>
          </w:tcPr>
          <w:p w:rsidR="005E69BB" w:rsidRPr="00C54618" w:rsidRDefault="005E69BB" w:rsidP="00366DDE">
            <w:pPr>
              <w:jc w:val="center"/>
              <w:rPr>
                <w:rFonts w:ascii="Times New Roman" w:hAnsi="Times New Roman" w:cs="Times New Roman"/>
                <w:sz w:val="16"/>
                <w:szCs w:val="16"/>
                <w:lang w:val="en-GB"/>
              </w:rPr>
            </w:pPr>
          </w:p>
        </w:tc>
        <w:tc>
          <w:tcPr>
            <w:tcW w:w="1354" w:type="dxa"/>
          </w:tcPr>
          <w:p w:rsidR="005E69BB" w:rsidRPr="00C54618" w:rsidRDefault="005E69BB" w:rsidP="00366DDE">
            <w:pPr>
              <w:rPr>
                <w:rFonts w:ascii="Times New Roman" w:hAnsi="Times New Roman" w:cs="Times New Roman"/>
                <w:sz w:val="16"/>
                <w:szCs w:val="16"/>
                <w:lang w:val="en-GB"/>
              </w:rPr>
            </w:pPr>
          </w:p>
        </w:tc>
        <w:tc>
          <w:tcPr>
            <w:tcW w:w="2544" w:type="dxa"/>
          </w:tcPr>
          <w:p w:rsidR="005E69BB" w:rsidRPr="00C54618" w:rsidRDefault="005E69BB" w:rsidP="00904291">
            <w:pPr>
              <w:jc w:val="center"/>
              <w:rPr>
                <w:rFonts w:ascii="Times New Roman" w:hAnsi="Times New Roman" w:cs="Times New Roman"/>
                <w:sz w:val="16"/>
                <w:szCs w:val="16"/>
                <w:lang w:val="en-GB"/>
              </w:rPr>
            </w:pPr>
          </w:p>
        </w:tc>
      </w:tr>
      <w:tr w:rsidR="00EC1C20" w:rsidRPr="00D54669" w:rsidTr="00CC6CAC">
        <w:tc>
          <w:tcPr>
            <w:tcW w:w="1413" w:type="dxa"/>
          </w:tcPr>
          <w:p w:rsidR="00EC1C20" w:rsidRPr="00C54618" w:rsidRDefault="00EC1C20" w:rsidP="00EC1C20">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f,w</w:t>
            </w:r>
            <w:proofErr w:type="spellEnd"/>
          </w:p>
        </w:tc>
        <w:tc>
          <w:tcPr>
            <w:tcW w:w="3865" w:type="dxa"/>
          </w:tcPr>
          <w:p w:rsidR="00EC1C20" w:rsidRPr="00C54618" w:rsidRDefault="00EC1C20" w:rsidP="00EC1C20">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women</w:t>
            </w:r>
          </w:p>
        </w:tc>
        <w:tc>
          <w:tcPr>
            <w:tcW w:w="1309" w:type="dxa"/>
          </w:tcPr>
          <w:p w:rsidR="00EC1C20" w:rsidRPr="00C54618" w:rsidRDefault="00414BCE" w:rsidP="00EC1C20">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p>
        </w:tc>
        <w:tc>
          <w:tcPr>
            <w:tcW w:w="1354" w:type="dxa"/>
          </w:tcPr>
          <w:p w:rsidR="00EC1C20" w:rsidRPr="00C54618" w:rsidRDefault="00EC1C20" w:rsidP="00EC1C20">
            <w:pPr>
              <w:rPr>
                <w:rFonts w:ascii="Times New Roman" w:hAnsi="Times New Roman" w:cs="Times New Roman"/>
                <w:sz w:val="16"/>
                <w:szCs w:val="16"/>
                <w:lang w:val="en-GB"/>
              </w:rPr>
            </w:pPr>
          </w:p>
        </w:tc>
        <w:tc>
          <w:tcPr>
            <w:tcW w:w="2544" w:type="dxa"/>
          </w:tcPr>
          <w:p w:rsidR="00EC1C20" w:rsidRPr="00C54618" w:rsidRDefault="00E8686F"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p>
        </w:tc>
      </w:tr>
      <w:tr w:rsidR="00EC1C20" w:rsidRPr="00D54669" w:rsidTr="00CC6CAC">
        <w:tc>
          <w:tcPr>
            <w:tcW w:w="1413" w:type="dxa"/>
          </w:tcPr>
          <w:p w:rsidR="00EC1C20" w:rsidRPr="00C54618" w:rsidRDefault="00EC1C20" w:rsidP="00EC1C20">
            <w:pPr>
              <w:jc w:val="both"/>
              <w:rPr>
                <w:rFonts w:ascii="Times New Roman" w:hAnsi="Times New Roman" w:cs="Times New Roman"/>
                <w:i/>
                <w:sz w:val="16"/>
                <w:szCs w:val="16"/>
                <w:lang w:val="en-GB"/>
              </w:rPr>
            </w:pPr>
            <w:proofErr w:type="spellStart"/>
            <w:r w:rsidRPr="00C54618">
              <w:rPr>
                <w:rFonts w:ascii="Times New Roman" w:hAnsi="Times New Roman" w:cs="Times New Roman"/>
                <w:i/>
                <w:sz w:val="16"/>
                <w:szCs w:val="16"/>
                <w:lang w:val="en-GB"/>
              </w:rPr>
              <w:t>HH</w:t>
            </w:r>
            <w:r w:rsidRPr="00C54618">
              <w:rPr>
                <w:rFonts w:ascii="Times New Roman" w:hAnsi="Times New Roman" w:cs="Times New Roman"/>
                <w:i/>
                <w:sz w:val="16"/>
                <w:szCs w:val="16"/>
                <w:vertAlign w:val="subscript"/>
                <w:lang w:val="en-GB"/>
              </w:rPr>
              <w:t>f,m</w:t>
            </w:r>
            <w:proofErr w:type="spellEnd"/>
          </w:p>
        </w:tc>
        <w:tc>
          <w:tcPr>
            <w:tcW w:w="3865" w:type="dxa"/>
          </w:tcPr>
          <w:p w:rsidR="00EC1C20" w:rsidRPr="00C54618" w:rsidRDefault="00EC1C20" w:rsidP="00EC1C20">
            <w:pPr>
              <w:jc w:val="both"/>
              <w:rPr>
                <w:rFonts w:ascii="Times New Roman" w:hAnsi="Times New Roman" w:cs="Times New Roman"/>
                <w:sz w:val="16"/>
                <w:szCs w:val="16"/>
                <w:lang w:val="en-GB"/>
              </w:rPr>
            </w:pPr>
            <w:r w:rsidRPr="00C54618">
              <w:rPr>
                <w:rFonts w:ascii="Times New Roman" w:hAnsi="Times New Roman" w:cs="Times New Roman"/>
                <w:sz w:val="16"/>
                <w:szCs w:val="16"/>
                <w:lang w:val="en-GB"/>
              </w:rPr>
              <w:t>HH among men</w:t>
            </w:r>
          </w:p>
        </w:tc>
        <w:tc>
          <w:tcPr>
            <w:tcW w:w="1309" w:type="dxa"/>
          </w:tcPr>
          <w:p w:rsidR="00EC1C20" w:rsidRPr="00C54618" w:rsidRDefault="00414BCE" w:rsidP="00EC1C20">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w:t>
            </w:r>
          </w:p>
        </w:tc>
        <w:tc>
          <w:tcPr>
            <w:tcW w:w="1354" w:type="dxa"/>
          </w:tcPr>
          <w:p w:rsidR="00EC1C20" w:rsidRPr="00C54618" w:rsidRDefault="00EC1C20" w:rsidP="00EC1C20">
            <w:pPr>
              <w:rPr>
                <w:rFonts w:ascii="Times New Roman" w:hAnsi="Times New Roman" w:cs="Times New Roman"/>
                <w:sz w:val="16"/>
                <w:szCs w:val="16"/>
                <w:lang w:val="en-GB"/>
              </w:rPr>
            </w:pPr>
          </w:p>
        </w:tc>
        <w:tc>
          <w:tcPr>
            <w:tcW w:w="2544" w:type="dxa"/>
          </w:tcPr>
          <w:p w:rsidR="00EC1C20" w:rsidRPr="00C54618" w:rsidRDefault="00E8686F" w:rsidP="00904291">
            <w:pPr>
              <w:jc w:val="center"/>
              <w:rPr>
                <w:rFonts w:ascii="Times New Roman" w:hAnsi="Times New Roman" w:cs="Times New Roman"/>
                <w:sz w:val="16"/>
                <w:szCs w:val="16"/>
                <w:lang w:val="en-GB"/>
              </w:rPr>
            </w:pPr>
            <w:r w:rsidRPr="00C54618">
              <w:rPr>
                <w:rFonts w:ascii="Times New Roman" w:hAnsi="Times New Roman" w:cs="Times New Roman"/>
                <w:sz w:val="16"/>
                <w:szCs w:val="16"/>
                <w:lang w:val="en-GB"/>
              </w:rPr>
              <w:t>0-0</w:t>
            </w:r>
            <w:r w:rsidR="002C7656">
              <w:rPr>
                <w:rFonts w:ascii="Times New Roman" w:hAnsi="Times New Roman" w:cs="Times New Roman"/>
                <w:sz w:val="16"/>
                <w:szCs w:val="16"/>
                <w:lang w:val="en-GB"/>
              </w:rPr>
              <w:t>.</w:t>
            </w:r>
            <w:r w:rsidRPr="00C54618">
              <w:rPr>
                <w:rFonts w:ascii="Times New Roman" w:hAnsi="Times New Roman" w:cs="Times New Roman"/>
                <w:sz w:val="16"/>
                <w:szCs w:val="16"/>
                <w:lang w:val="en-GB"/>
              </w:rPr>
              <w:t>5</w:t>
            </w:r>
          </w:p>
        </w:tc>
      </w:tr>
    </w:tbl>
    <w:p w:rsidR="00AB546F" w:rsidRPr="003B7DFE" w:rsidRDefault="00AB546F" w:rsidP="007456F2">
      <w:pPr>
        <w:jc w:val="both"/>
        <w:rPr>
          <w:rFonts w:cs="Times New Roman"/>
          <w:b/>
          <w:sz w:val="20"/>
          <w:szCs w:val="20"/>
          <w:lang w:val="en-US"/>
        </w:rPr>
      </w:pPr>
    </w:p>
    <w:p w:rsidR="007456F2" w:rsidRPr="00AB546F" w:rsidRDefault="00E05354" w:rsidP="007A11A9">
      <w:pPr>
        <w:jc w:val="both"/>
        <w:rPr>
          <w:rFonts w:ascii="Times New Roman" w:hAnsi="Times New Roman" w:cs="Times New Roman"/>
          <w:b/>
          <w:sz w:val="20"/>
          <w:szCs w:val="20"/>
          <w:lang w:val="en-GB"/>
        </w:rPr>
      </w:pPr>
      <w:r w:rsidRPr="00AB546F">
        <w:rPr>
          <w:rFonts w:ascii="Times New Roman" w:hAnsi="Times New Roman" w:cs="Times New Roman"/>
          <w:b/>
          <w:sz w:val="20"/>
          <w:szCs w:val="20"/>
          <w:lang w:val="en-GB"/>
        </w:rPr>
        <w:t>S</w:t>
      </w:r>
      <w:r w:rsidR="007A11A9" w:rsidRPr="00AB546F">
        <w:rPr>
          <w:rFonts w:ascii="Times New Roman" w:hAnsi="Times New Roman" w:cs="Times New Roman"/>
          <w:b/>
          <w:sz w:val="20"/>
          <w:szCs w:val="20"/>
          <w:lang w:val="en-GB"/>
        </w:rPr>
        <w:t>ensitivity analysis</w:t>
      </w:r>
    </w:p>
    <w:p w:rsidR="00483541" w:rsidRPr="00AB546F" w:rsidRDefault="00D135BC" w:rsidP="00AB546F">
      <w:pPr>
        <w:spacing w:line="240" w:lineRule="auto"/>
        <w:jc w:val="both"/>
        <w:rPr>
          <w:rFonts w:ascii="Times New Roman" w:hAnsi="Times New Roman" w:cs="Times New Roman"/>
          <w:sz w:val="20"/>
          <w:szCs w:val="20"/>
          <w:lang w:val="en-GB"/>
        </w:rPr>
      </w:pPr>
      <w:r w:rsidRPr="00AB546F">
        <w:rPr>
          <w:rFonts w:ascii="Times New Roman" w:hAnsi="Times New Roman" w:cs="Times New Roman"/>
          <w:sz w:val="20"/>
          <w:szCs w:val="20"/>
          <w:lang w:val="en-US"/>
        </w:rPr>
        <w:t xml:space="preserve">We considered </w:t>
      </w:r>
      <w:r w:rsidR="002758DC" w:rsidRPr="00AB546F">
        <w:rPr>
          <w:rFonts w:ascii="Times New Roman" w:hAnsi="Times New Roman" w:cs="Times New Roman"/>
          <w:i/>
          <w:sz w:val="20"/>
          <w:szCs w:val="20"/>
          <w:lang w:val="en-US"/>
        </w:rPr>
        <w:t>k</w:t>
      </w:r>
      <w:r w:rsidRPr="00AB546F">
        <w:rPr>
          <w:rFonts w:ascii="Times New Roman" w:hAnsi="Times New Roman" w:cs="Times New Roman"/>
          <w:sz w:val="20"/>
          <w:szCs w:val="20"/>
          <w:lang w:val="en-US"/>
        </w:rPr>
        <w:t xml:space="preserve"> model parameters in the sensitivity analysis</w:t>
      </w:r>
      <w:r w:rsidR="00F160EB" w:rsidRPr="00AB546F">
        <w:rPr>
          <w:rFonts w:ascii="Times New Roman" w:hAnsi="Times New Roman" w:cs="Times New Roman"/>
          <w:sz w:val="20"/>
          <w:szCs w:val="20"/>
          <w:lang w:val="en-US"/>
        </w:rPr>
        <w:t xml:space="preserve"> (</w:t>
      </w:r>
      <w:r w:rsidR="00007697" w:rsidRPr="00AB546F">
        <w:rPr>
          <w:rFonts w:ascii="Times New Roman" w:hAnsi="Times New Roman" w:cs="Times New Roman"/>
          <w:i/>
          <w:sz w:val="20"/>
          <w:szCs w:val="20"/>
          <w:lang w:val="en-US"/>
        </w:rPr>
        <w:t>k</w:t>
      </w:r>
      <w:r w:rsidR="00F160EB" w:rsidRPr="00AB546F">
        <w:rPr>
          <w:rFonts w:ascii="Times New Roman" w:hAnsi="Times New Roman" w:cs="Times New Roman"/>
          <w:sz w:val="20"/>
          <w:szCs w:val="20"/>
          <w:lang w:val="en-US"/>
        </w:rPr>
        <w:t>=24)</w:t>
      </w:r>
      <w:r w:rsidR="00336EE3" w:rsidRPr="00AB546F">
        <w:rPr>
          <w:rFonts w:ascii="Times New Roman" w:hAnsi="Times New Roman" w:cs="Times New Roman"/>
          <w:sz w:val="20"/>
          <w:szCs w:val="20"/>
          <w:lang w:val="en-US"/>
        </w:rPr>
        <w:t>.</w:t>
      </w:r>
      <w:r w:rsidR="00B60D66" w:rsidRPr="00AB546F">
        <w:rPr>
          <w:rFonts w:ascii="Times New Roman" w:hAnsi="Times New Roman" w:cs="Times New Roman"/>
          <w:sz w:val="20"/>
          <w:szCs w:val="20"/>
          <w:lang w:val="en-US"/>
        </w:rPr>
        <w:t xml:space="preserve"> </w:t>
      </w:r>
      <w:r w:rsidR="00483541" w:rsidRPr="00AB546F">
        <w:rPr>
          <w:rFonts w:ascii="Times New Roman" w:hAnsi="Times New Roman" w:cs="Times New Roman"/>
          <w:sz w:val="20"/>
          <w:szCs w:val="20"/>
          <w:lang w:val="en-GB"/>
        </w:rPr>
        <w:t xml:space="preserve">Because there was no </w:t>
      </w:r>
      <w:r w:rsidR="00483541" w:rsidRPr="00AB546F">
        <w:rPr>
          <w:rFonts w:ascii="Times New Roman" w:hAnsi="Times New Roman" w:cs="Times New Roman"/>
          <w:i/>
          <w:sz w:val="20"/>
          <w:szCs w:val="20"/>
          <w:lang w:val="en-GB"/>
        </w:rPr>
        <w:t>a priori</w:t>
      </w:r>
      <w:r w:rsidR="00483541" w:rsidRPr="00AB546F">
        <w:rPr>
          <w:rFonts w:ascii="Times New Roman" w:hAnsi="Times New Roman" w:cs="Times New Roman"/>
          <w:sz w:val="20"/>
          <w:szCs w:val="20"/>
          <w:lang w:val="en-GB"/>
        </w:rPr>
        <w:t xml:space="preserve"> information on parameter distributions, we chose the uniform distribution with minimum and maximum values from </w:t>
      </w:r>
      <w:r w:rsidR="00A42232" w:rsidRPr="00AB546F">
        <w:rPr>
          <w:rFonts w:ascii="Times New Roman" w:hAnsi="Times New Roman" w:cs="Times New Roman"/>
          <w:sz w:val="20"/>
          <w:szCs w:val="20"/>
          <w:lang w:val="en-GB"/>
        </w:rPr>
        <w:t>given</w:t>
      </w:r>
      <w:r w:rsidR="00483541" w:rsidRPr="00AB546F">
        <w:rPr>
          <w:rFonts w:ascii="Times New Roman" w:hAnsi="Times New Roman" w:cs="Times New Roman"/>
          <w:sz w:val="20"/>
          <w:szCs w:val="20"/>
          <w:lang w:val="en-GB"/>
        </w:rPr>
        <w:t xml:space="preserve"> parameter ranges</w:t>
      </w:r>
      <w:r w:rsidR="00A42232" w:rsidRPr="00AB546F">
        <w:rPr>
          <w:rFonts w:ascii="Times New Roman" w:hAnsi="Times New Roman" w:cs="Times New Roman"/>
          <w:sz w:val="20"/>
          <w:szCs w:val="20"/>
          <w:lang w:val="en-GB"/>
        </w:rPr>
        <w:t xml:space="preserve"> (</w:t>
      </w:r>
      <w:r w:rsidR="00CB1D4B" w:rsidRPr="00AB546F">
        <w:rPr>
          <w:rFonts w:ascii="Times New Roman" w:hAnsi="Times New Roman" w:cs="Times New Roman"/>
          <w:sz w:val="20"/>
          <w:szCs w:val="20"/>
          <w:lang w:val="en-GB"/>
        </w:rPr>
        <w:t>Supplementary T</w:t>
      </w:r>
      <w:r w:rsidR="00A42232" w:rsidRPr="00AB546F">
        <w:rPr>
          <w:rFonts w:ascii="Times New Roman" w:hAnsi="Times New Roman" w:cs="Times New Roman"/>
          <w:sz w:val="20"/>
          <w:szCs w:val="20"/>
          <w:lang w:val="en-GB"/>
        </w:rPr>
        <w:t>able S1)</w:t>
      </w:r>
      <w:r w:rsidR="00483541" w:rsidRPr="00AB546F">
        <w:rPr>
          <w:rFonts w:ascii="Times New Roman" w:hAnsi="Times New Roman" w:cs="Times New Roman"/>
          <w:sz w:val="20"/>
          <w:szCs w:val="20"/>
          <w:lang w:val="en-GB"/>
        </w:rPr>
        <w:t>.</w:t>
      </w:r>
      <w:r w:rsidR="006F2F5E" w:rsidRPr="00AB546F">
        <w:rPr>
          <w:rFonts w:ascii="Times New Roman" w:hAnsi="Times New Roman" w:cs="Times New Roman"/>
          <w:sz w:val="20"/>
          <w:szCs w:val="20"/>
          <w:lang w:val="en-GB"/>
        </w:rPr>
        <w:t xml:space="preserve"> </w:t>
      </w:r>
    </w:p>
    <w:p w:rsidR="002758DC" w:rsidRPr="00AB546F" w:rsidRDefault="002B52FF" w:rsidP="00AB546F">
      <w:pPr>
        <w:spacing w:line="240" w:lineRule="auto"/>
        <w:jc w:val="both"/>
        <w:rPr>
          <w:rFonts w:ascii="Times New Roman" w:hAnsi="Times New Roman" w:cs="Times New Roman"/>
          <w:sz w:val="20"/>
          <w:szCs w:val="20"/>
          <w:lang w:val="en-GB"/>
        </w:rPr>
      </w:pPr>
      <w:r w:rsidRPr="00AB546F">
        <w:rPr>
          <w:rFonts w:ascii="Times New Roman" w:hAnsi="Times New Roman" w:cs="Times New Roman"/>
          <w:sz w:val="20"/>
          <w:szCs w:val="20"/>
          <w:lang w:val="en-US"/>
        </w:rPr>
        <w:t xml:space="preserve">The range of each parameter value was divided into </w:t>
      </w:r>
      <w:r w:rsidRPr="00AB546F">
        <w:rPr>
          <w:rFonts w:ascii="Times New Roman" w:hAnsi="Times New Roman" w:cs="Times New Roman"/>
          <w:i/>
          <w:sz w:val="20"/>
          <w:szCs w:val="20"/>
          <w:lang w:val="en-US"/>
        </w:rPr>
        <w:t>N</w:t>
      </w:r>
      <w:r w:rsidRPr="00AB546F">
        <w:rPr>
          <w:rFonts w:ascii="Times New Roman" w:hAnsi="Times New Roman" w:cs="Times New Roman"/>
          <w:sz w:val="20"/>
          <w:szCs w:val="20"/>
          <w:lang w:val="en-US"/>
        </w:rPr>
        <w:t xml:space="preserve"> equal probability interva</w:t>
      </w:r>
      <w:r w:rsidR="009F236B" w:rsidRPr="00AB546F">
        <w:rPr>
          <w:rFonts w:ascii="Times New Roman" w:hAnsi="Times New Roman" w:cs="Times New Roman"/>
          <w:sz w:val="20"/>
          <w:szCs w:val="20"/>
          <w:lang w:val="en-US"/>
        </w:rPr>
        <w:t>ls, which are then sampled (</w:t>
      </w:r>
      <w:r w:rsidR="009F236B" w:rsidRPr="00AB546F">
        <w:rPr>
          <w:rFonts w:ascii="Times New Roman" w:hAnsi="Times New Roman" w:cs="Times New Roman"/>
          <w:i/>
          <w:sz w:val="20"/>
          <w:szCs w:val="20"/>
          <w:lang w:val="en-US"/>
        </w:rPr>
        <w:t>N</w:t>
      </w:r>
      <w:r w:rsidR="009F236B" w:rsidRPr="00AB546F">
        <w:rPr>
          <w:rFonts w:ascii="Times New Roman" w:hAnsi="Times New Roman" w:cs="Times New Roman"/>
          <w:sz w:val="20"/>
          <w:szCs w:val="20"/>
          <w:lang w:val="en-US"/>
        </w:rPr>
        <w:t>=100</w:t>
      </w:r>
      <w:r w:rsidRPr="00AB546F">
        <w:rPr>
          <w:rFonts w:ascii="Times New Roman" w:hAnsi="Times New Roman" w:cs="Times New Roman"/>
          <w:sz w:val="20"/>
          <w:szCs w:val="20"/>
          <w:lang w:val="en-US"/>
        </w:rPr>
        <w:t xml:space="preserve"> and represents the sample size)</w:t>
      </w:r>
      <w:r w:rsidR="00336EE3" w:rsidRPr="00AB546F">
        <w:rPr>
          <w:rFonts w:ascii="Times New Roman" w:hAnsi="Times New Roman" w:cs="Times New Roman"/>
          <w:sz w:val="20"/>
          <w:szCs w:val="20"/>
          <w:lang w:val="en-US"/>
        </w:rPr>
        <w:t xml:space="preserve">. </w:t>
      </w:r>
      <w:r w:rsidR="00E35DB5" w:rsidRPr="00AB546F">
        <w:rPr>
          <w:rFonts w:ascii="Times New Roman" w:hAnsi="Times New Roman" w:cs="Times New Roman"/>
          <w:sz w:val="20"/>
          <w:szCs w:val="20"/>
          <w:lang w:val="en-US"/>
        </w:rPr>
        <w:t xml:space="preserve">The sampling </w:t>
      </w:r>
      <w:proofErr w:type="gramStart"/>
      <w:r w:rsidR="00E35DB5" w:rsidRPr="00AB546F">
        <w:rPr>
          <w:rFonts w:ascii="Times New Roman" w:hAnsi="Times New Roman" w:cs="Times New Roman"/>
          <w:sz w:val="20"/>
          <w:szCs w:val="20"/>
          <w:lang w:val="en-US"/>
        </w:rPr>
        <w:t>is done</w:t>
      </w:r>
      <w:proofErr w:type="gramEnd"/>
      <w:r w:rsidR="00E35DB5" w:rsidRPr="00AB546F">
        <w:rPr>
          <w:rFonts w:ascii="Times New Roman" w:hAnsi="Times New Roman" w:cs="Times New Roman"/>
          <w:sz w:val="20"/>
          <w:szCs w:val="20"/>
          <w:lang w:val="en-US"/>
        </w:rPr>
        <w:t xml:space="preserve"> by randomly selecting values from each pdf</w:t>
      </w:r>
      <w:r w:rsidR="00336EE3" w:rsidRPr="00AB546F">
        <w:rPr>
          <w:rFonts w:ascii="Times New Roman" w:hAnsi="Times New Roman" w:cs="Times New Roman"/>
          <w:sz w:val="20"/>
          <w:szCs w:val="20"/>
          <w:lang w:val="en-US"/>
        </w:rPr>
        <w:t xml:space="preserve">. </w:t>
      </w:r>
      <w:r w:rsidR="001153ED" w:rsidRPr="00AB546F">
        <w:rPr>
          <w:rFonts w:ascii="Times New Roman" w:hAnsi="Times New Roman" w:cs="Times New Roman"/>
          <w:sz w:val="20"/>
          <w:szCs w:val="20"/>
          <w:lang w:val="en-US"/>
        </w:rPr>
        <w:t>Each interval for each parameter is sampled exactly once (without replacement), so that the entire range for each parameter is explored</w:t>
      </w:r>
      <w:r w:rsidR="00336EE3" w:rsidRPr="00AB546F">
        <w:rPr>
          <w:rFonts w:ascii="Times New Roman" w:hAnsi="Times New Roman" w:cs="Times New Roman"/>
          <w:sz w:val="20"/>
          <w:szCs w:val="20"/>
          <w:lang w:val="en-US"/>
        </w:rPr>
        <w:t xml:space="preserve">. </w:t>
      </w:r>
      <w:r w:rsidR="008D7C46" w:rsidRPr="00AB546F">
        <w:rPr>
          <w:rFonts w:ascii="Times New Roman" w:hAnsi="Times New Roman" w:cs="Times New Roman"/>
          <w:sz w:val="20"/>
          <w:szCs w:val="20"/>
          <w:lang w:val="en-US"/>
        </w:rPr>
        <w:t>For more details see Marino et al</w:t>
      </w:r>
      <w:r w:rsidR="00466DDC" w:rsidRPr="00AB546F">
        <w:rPr>
          <w:rFonts w:ascii="Times New Roman" w:hAnsi="Times New Roman" w:cs="Times New Roman"/>
          <w:sz w:val="20"/>
          <w:szCs w:val="20"/>
          <w:lang w:val="en-US"/>
        </w:rPr>
        <w:t>.</w:t>
      </w:r>
      <w:r w:rsidR="005A045B" w:rsidRPr="00AB546F">
        <w:rPr>
          <w:rFonts w:ascii="Times New Roman" w:hAnsi="Times New Roman" w:cs="Times New Roman"/>
          <w:sz w:val="20"/>
          <w:szCs w:val="20"/>
          <w:lang w:val="en-US"/>
        </w:rPr>
        <w:fldChar w:fldCharType="begin"/>
      </w:r>
      <w:r w:rsidR="008C5DFA">
        <w:rPr>
          <w:rFonts w:ascii="Times New Roman" w:hAnsi="Times New Roman" w:cs="Times New Roman"/>
          <w:sz w:val="20"/>
          <w:szCs w:val="20"/>
          <w:lang w:val="en-US"/>
        </w:rPr>
        <w:instrText xml:space="preserve"> ADDIN ZOTERO_ITEM CSL_CITATION {"citationID":"aa2gj240","properties":{"formattedCitation":"[16]","plainCitation":"[16]"},"citationItems":[{"id":891,"uris":["http://zotero.org/users/local/hjvuTSYk/items/PFKM3RAG"],"uri":["http://zotero.org/users/local/hjvuTSYk/items/PFKM3RAG"],"itemData":{"id":891,"type":"article-journal","title":"A methodology for performing global uncertainty and sensitivity analysis in systems biology","container-title":"Journal of Theoretical Biology","page":"178-196","volume":"254","issue":"1","source":"Crossref","DOI":"10.1016/j.jtbi.2008.04.011","ISSN":"00225193","language":"en","author":[{"family":"Marino","given":"Simeone"},{"family":"Hogue","given":"Ian B."},{"family":"Ray","given":"Christian J."},{"family":"Kirschner","given":"Denise E."}],"issued":{"date-parts":[["2008",9]]}}}],"schema":"https://github.com/citation-style-language/schema/raw/master/csl-citation.json"} </w:instrText>
      </w:r>
      <w:r w:rsidR="005A045B" w:rsidRPr="00AB546F">
        <w:rPr>
          <w:rFonts w:ascii="Times New Roman" w:hAnsi="Times New Roman" w:cs="Times New Roman"/>
          <w:sz w:val="20"/>
          <w:szCs w:val="20"/>
          <w:lang w:val="en-US"/>
        </w:rPr>
        <w:fldChar w:fldCharType="separate"/>
      </w:r>
      <w:r w:rsidR="008C5DFA" w:rsidRPr="008C5DFA">
        <w:rPr>
          <w:rFonts w:ascii="Times New Roman" w:hAnsi="Times New Roman" w:cs="Times New Roman"/>
          <w:sz w:val="20"/>
          <w:lang w:val="en-US"/>
        </w:rPr>
        <w:t>[16]</w:t>
      </w:r>
      <w:r w:rsidR="005A045B" w:rsidRPr="00AB546F">
        <w:rPr>
          <w:rFonts w:ascii="Times New Roman" w:hAnsi="Times New Roman" w:cs="Times New Roman"/>
          <w:sz w:val="20"/>
          <w:szCs w:val="20"/>
          <w:lang w:val="en-US"/>
        </w:rPr>
        <w:fldChar w:fldCharType="end"/>
      </w:r>
      <w:r w:rsidR="008C5DFA">
        <w:rPr>
          <w:rFonts w:ascii="Times New Roman" w:hAnsi="Times New Roman" w:cs="Times New Roman"/>
          <w:sz w:val="20"/>
          <w:szCs w:val="20"/>
          <w:lang w:val="en-US"/>
        </w:rPr>
        <w:t xml:space="preserve">. </w:t>
      </w:r>
      <w:r w:rsidR="00E35DB5" w:rsidRPr="00AB546F">
        <w:rPr>
          <w:rFonts w:ascii="Times New Roman" w:hAnsi="Times New Roman" w:cs="Times New Roman"/>
          <w:sz w:val="20"/>
          <w:szCs w:val="20"/>
          <w:lang w:val="en-US"/>
        </w:rPr>
        <w:t xml:space="preserve"> </w:t>
      </w:r>
      <w:r w:rsidR="00FC1B36" w:rsidRPr="00AB546F">
        <w:rPr>
          <w:rFonts w:ascii="Times New Roman" w:hAnsi="Times New Roman" w:cs="Times New Roman"/>
          <w:sz w:val="20"/>
          <w:szCs w:val="20"/>
          <w:lang w:val="en-US"/>
        </w:rPr>
        <w:t xml:space="preserve">We generated a LHS matrix that consists of </w:t>
      </w:r>
      <w:r w:rsidR="00FC1B36" w:rsidRPr="00AB546F">
        <w:rPr>
          <w:rFonts w:ascii="Times New Roman" w:hAnsi="Times New Roman" w:cs="Times New Roman"/>
          <w:i/>
          <w:sz w:val="20"/>
          <w:szCs w:val="20"/>
          <w:lang w:val="en-US"/>
        </w:rPr>
        <w:t>N</w:t>
      </w:r>
      <w:r w:rsidR="00FC1B36" w:rsidRPr="00AB546F">
        <w:rPr>
          <w:rFonts w:ascii="Times New Roman" w:hAnsi="Times New Roman" w:cs="Times New Roman"/>
          <w:sz w:val="20"/>
          <w:szCs w:val="20"/>
          <w:lang w:val="en-US"/>
        </w:rPr>
        <w:t xml:space="preserve"> rows (sample size) and </w:t>
      </w:r>
      <w:r w:rsidR="002758DC" w:rsidRPr="00AB546F">
        <w:rPr>
          <w:rFonts w:ascii="Times New Roman" w:hAnsi="Times New Roman" w:cs="Times New Roman"/>
          <w:i/>
          <w:sz w:val="20"/>
          <w:szCs w:val="20"/>
          <w:lang w:val="en-US"/>
        </w:rPr>
        <w:t>k</w:t>
      </w:r>
      <w:r w:rsidR="00FC1B36" w:rsidRPr="00AB546F">
        <w:rPr>
          <w:rFonts w:ascii="Times New Roman" w:hAnsi="Times New Roman" w:cs="Times New Roman"/>
          <w:sz w:val="20"/>
          <w:szCs w:val="20"/>
          <w:lang w:val="en-US"/>
        </w:rPr>
        <w:t xml:space="preserve"> columns correspondi</w:t>
      </w:r>
      <w:r w:rsidR="00BC4829" w:rsidRPr="00AB546F">
        <w:rPr>
          <w:rFonts w:ascii="Times New Roman" w:hAnsi="Times New Roman" w:cs="Times New Roman"/>
          <w:sz w:val="20"/>
          <w:szCs w:val="20"/>
          <w:lang w:val="en-US"/>
        </w:rPr>
        <w:t>ng to the number of parameters</w:t>
      </w:r>
      <w:r w:rsidR="00466DDC" w:rsidRPr="00AB546F">
        <w:rPr>
          <w:rFonts w:ascii="Times New Roman" w:hAnsi="Times New Roman" w:cs="Times New Roman"/>
          <w:sz w:val="20"/>
          <w:szCs w:val="20"/>
          <w:lang w:val="en-US"/>
        </w:rPr>
        <w:t>.</w:t>
      </w:r>
      <w:r w:rsidR="00BC4829" w:rsidRPr="00AB546F">
        <w:rPr>
          <w:rFonts w:ascii="Times New Roman" w:hAnsi="Times New Roman" w:cs="Times New Roman"/>
          <w:sz w:val="20"/>
          <w:szCs w:val="20"/>
          <w:lang w:val="en-US"/>
        </w:rPr>
        <w:t xml:space="preserve"> </w:t>
      </w:r>
      <w:r w:rsidR="002758DC" w:rsidRPr="00AB546F">
        <w:rPr>
          <w:rFonts w:ascii="Times New Roman" w:hAnsi="Times New Roman" w:cs="Times New Roman"/>
          <w:sz w:val="20"/>
          <w:szCs w:val="20"/>
          <w:lang w:val="en-GB"/>
        </w:rPr>
        <w:t xml:space="preserve">Then, for each combination of model parameters, we calculated </w:t>
      </w:r>
      <w:r w:rsidR="002758DC" w:rsidRPr="00AB546F">
        <w:rPr>
          <w:rFonts w:ascii="Times New Roman" w:hAnsi="Times New Roman" w:cs="Times New Roman"/>
          <w:i/>
          <w:sz w:val="20"/>
          <w:szCs w:val="20"/>
          <w:lang w:val="en-GB"/>
        </w:rPr>
        <w:t>N</w:t>
      </w:r>
      <w:r w:rsidR="002758DC" w:rsidRPr="00AB546F">
        <w:rPr>
          <w:rFonts w:ascii="Times New Roman" w:hAnsi="Times New Roman" w:cs="Times New Roman"/>
          <w:sz w:val="20"/>
          <w:szCs w:val="20"/>
          <w:lang w:val="en-GB"/>
        </w:rPr>
        <w:t xml:space="preserve"> model outputs </w:t>
      </w:r>
      <w:r w:rsidR="0032099F" w:rsidRPr="00AB546F">
        <w:rPr>
          <w:rFonts w:ascii="Times New Roman" w:hAnsi="Times New Roman" w:cs="Times New Roman"/>
          <w:sz w:val="20"/>
          <w:szCs w:val="20"/>
          <w:lang w:val="en-GB"/>
        </w:rPr>
        <w:t xml:space="preserve">(over 30 </w:t>
      </w:r>
      <w:r w:rsidR="002758DC" w:rsidRPr="00AB546F">
        <w:rPr>
          <w:rFonts w:ascii="Times New Roman" w:hAnsi="Times New Roman" w:cs="Times New Roman"/>
          <w:sz w:val="20"/>
          <w:szCs w:val="20"/>
          <w:lang w:val="en-GB"/>
        </w:rPr>
        <w:t>000 simulation replicates)</w:t>
      </w:r>
      <w:r w:rsidR="00466DDC" w:rsidRPr="00AB546F">
        <w:rPr>
          <w:rFonts w:ascii="Times New Roman" w:hAnsi="Times New Roman" w:cs="Times New Roman"/>
          <w:sz w:val="20"/>
          <w:szCs w:val="20"/>
          <w:lang w:val="en-GB"/>
        </w:rPr>
        <w:t>.</w:t>
      </w:r>
    </w:p>
    <w:p w:rsidR="002758DC" w:rsidRPr="00AB546F" w:rsidRDefault="002758DC" w:rsidP="00AB546F">
      <w:pPr>
        <w:spacing w:line="240" w:lineRule="auto"/>
        <w:jc w:val="both"/>
        <w:rPr>
          <w:rFonts w:ascii="Times New Roman" w:hAnsi="Times New Roman" w:cs="Times New Roman"/>
          <w:sz w:val="20"/>
          <w:szCs w:val="20"/>
          <w:lang w:val="en-GB"/>
        </w:rPr>
      </w:pPr>
      <w:r w:rsidRPr="00AB546F">
        <w:rPr>
          <w:rFonts w:ascii="Times New Roman" w:hAnsi="Times New Roman" w:cs="Times New Roman"/>
          <w:sz w:val="20"/>
          <w:szCs w:val="20"/>
          <w:lang w:val="en-GB"/>
        </w:rPr>
        <w:t>We used Partial Rank Correlation Coefficient (PRCC) to quantify and rank the impact of input parameters on the probability of ESBL-EC acquisition in a household</w:t>
      </w:r>
      <w:r w:rsidR="007F75DD" w:rsidRPr="00AB546F">
        <w:rPr>
          <w:rFonts w:ascii="Times New Roman" w:hAnsi="Times New Roman" w:cs="Times New Roman"/>
          <w:sz w:val="20"/>
          <w:szCs w:val="20"/>
          <w:lang w:val="en-GB"/>
        </w:rPr>
        <w:t>.</w:t>
      </w:r>
      <w:r w:rsidRPr="00AB546F">
        <w:rPr>
          <w:rFonts w:ascii="Times New Roman" w:hAnsi="Times New Roman" w:cs="Times New Roman"/>
          <w:sz w:val="20"/>
          <w:szCs w:val="20"/>
          <w:lang w:val="en-GB"/>
        </w:rPr>
        <w:t xml:space="preserve"> For more details see </w:t>
      </w:r>
      <w:r w:rsidR="00E44375" w:rsidRPr="00AB546F">
        <w:rPr>
          <w:rFonts w:ascii="Times New Roman" w:hAnsi="Times New Roman" w:cs="Times New Roman"/>
          <w:sz w:val="20"/>
          <w:szCs w:val="20"/>
          <w:lang w:val="en-GB"/>
        </w:rPr>
        <w:t>Blower et al</w:t>
      </w:r>
      <w:r w:rsidR="00466DDC" w:rsidRPr="00AB546F">
        <w:rPr>
          <w:rFonts w:ascii="Times New Roman" w:hAnsi="Times New Roman" w:cs="Times New Roman"/>
          <w:sz w:val="20"/>
          <w:szCs w:val="20"/>
          <w:lang w:val="en-GB"/>
        </w:rPr>
        <w:t>.</w:t>
      </w:r>
      <w:r w:rsidR="00003FBD" w:rsidRPr="00AB546F">
        <w:rPr>
          <w:rFonts w:ascii="Times New Roman" w:hAnsi="Times New Roman" w:cs="Times New Roman"/>
          <w:sz w:val="20"/>
          <w:szCs w:val="20"/>
          <w:lang w:val="en-GB"/>
        </w:rPr>
        <w:fldChar w:fldCharType="begin"/>
      </w:r>
      <w:r w:rsidR="008C5DFA">
        <w:rPr>
          <w:rFonts w:ascii="Times New Roman" w:hAnsi="Times New Roman" w:cs="Times New Roman"/>
          <w:sz w:val="20"/>
          <w:szCs w:val="20"/>
          <w:lang w:val="en-GB"/>
        </w:rPr>
        <w:instrText xml:space="preserve"> ADDIN ZOTERO_ITEM CSL_CITATION {"citationID":"1cb7hqj5k5","properties":{"formattedCitation":"[17]","plainCitation":"[17]"},"citationItems":[{"id":894,"uris":["http://zotero.org/users/local/hjvuTSYk/items/42JX9KAK"],"uri":["http://zotero.org/users/local/hjvuTSYk/items/42JX9KAK"],"itemData":{"id":894,"type":"article-journal","title":"Sensitivity and Uncertainty Analysis of Complex Models of Disease Transmission: An HIV Model, as an Example","container-title":"International Statistical Review / Revue Internationale de Statistique","page":"229-243","volume":"62","issue":"2","source":"JSTOR","archive":"JSTOR","abstract":"HIV transmission models have become very complex. The behavior of some of these models may only be explored by uncertainty and sensitivity analyses, because the structural complexity of the model are coupled with a high degree of uncertainty in estimating the values of the input parameters. Uncertainty analysis may be used to assess the variability (prediction imprecision) in the outcome variable that is due to the uncertainty in estimating the input values. A sensitivity analysis can extend an uncertainty analysis by identifying which parameters are important in contributing to the prediction imprecision (i.e., how do changes in the values of the input parameters alter the value of the outcome variable). In this paper an uncertainty and a sensitivity analysis are described and applied; both analyses are based upon the Latin Hypercube Sampling (LHS) scheme, which is an extremely efficient sampling design proposed by McKay, Conover &amp; Beckman (1979). The methods described in this paper have not previously been applied to deterministic models of disease transmission, although these models have many characteristics in common with the risk assessment models that the strategies were designed to investigate. The utility of the LHS uncertainty and the LHS/PRC (Latin Hypercube Sampling/Partial Rank Correlation) sensitivity analysis techniques are illustrated by analyzing a complex deterministic model of HIV transmission. /// Les modèles d'étude de la diffusion du VIH sont devenus très complexes. Cette complexité étant associée à une forte incertitude dans l'estimation des valeurs des paramètres d'entrée, le comportement de certains de ces modèles ne peut être appréhendé que par des analyses d'incertitude et de sensibilité. L'analyse d'incertitude peut être utilisée pour établir la variabilité (imprécision de la prédiction) de la variable de sortie qui provient de l'incertitude de l'estimation des paramètres d'entrée. Une analyse de sensibilité peut compléter celle d'incertitude en identifiant les paramètres qui ont une influence maximale sur l'imprécision de la prévision (i.e., étude de l'impact des modifications des valeurs des paramètres d'entrée sur la valeur de la variable de sortie). Dans cet article, des analyses d'incertitude et de sensibilité sont décrites et leurs applications sont présentées; les deux analyses s'appuient sur la méthode d'Echantillonnage des Carrés Latins (ECL) qui est un protocole d'échantillonnage extrêmement efficace proposé par McKay, Conover &amp; Beckman (1979). Les méthodes présentées dans ce papier n'ont jamais été appliquées aux modèles déterministes de la dynamique de la diffusion d'une maladie, même si ces modèles ont de nombreuses caractéristiques en commun avec les modèles d'estimation du risque pour lesquelles ces stratégies ont été développées. L'intérêt des analyses d'incertitude par le ECL et de la sensibilité par le ECL/CPR (Echantillonnage des Carrés Latins/Corrélation Partielle de Rang) est mise en évidence par l'analyse d'un modèle déterministe complexe de transmission du VIH.","DOI":"10.2307/1403510","ISSN":"0306-7734","shortTitle":"Sensitivity and Uncertainty Analysis of Complex Models of Disease Transmission","author":[{"family":"Blower","given":"S. M."},{"family":"Dowlatabadi","given":"H."}],"issued":{"date-parts":[["1994"]]}}}],"schema":"https://github.com/citation-style-language/schema/raw/master/csl-citation.json"} </w:instrText>
      </w:r>
      <w:r w:rsidR="00003FBD" w:rsidRPr="00AB546F">
        <w:rPr>
          <w:rFonts w:ascii="Times New Roman" w:hAnsi="Times New Roman" w:cs="Times New Roman"/>
          <w:sz w:val="20"/>
          <w:szCs w:val="20"/>
          <w:lang w:val="en-GB"/>
        </w:rPr>
        <w:fldChar w:fldCharType="separate"/>
      </w:r>
      <w:r w:rsidR="008C5DFA" w:rsidRPr="008C5DFA">
        <w:rPr>
          <w:rFonts w:ascii="Times New Roman" w:hAnsi="Times New Roman" w:cs="Times New Roman"/>
          <w:sz w:val="20"/>
          <w:lang w:val="en-US"/>
        </w:rPr>
        <w:t>[17]</w:t>
      </w:r>
      <w:r w:rsidR="00003FBD" w:rsidRPr="00AB546F">
        <w:rPr>
          <w:rFonts w:ascii="Times New Roman" w:hAnsi="Times New Roman" w:cs="Times New Roman"/>
          <w:sz w:val="20"/>
          <w:szCs w:val="20"/>
          <w:lang w:val="en-GB"/>
        </w:rPr>
        <w:fldChar w:fldCharType="end"/>
      </w:r>
      <w:r w:rsidR="008C5DFA">
        <w:rPr>
          <w:rFonts w:ascii="Times New Roman" w:hAnsi="Times New Roman" w:cs="Times New Roman"/>
          <w:sz w:val="20"/>
          <w:szCs w:val="20"/>
          <w:lang w:val="en-GB"/>
        </w:rPr>
        <w:t>.</w:t>
      </w:r>
    </w:p>
    <w:p w:rsidR="00B83458" w:rsidRPr="00AB546F" w:rsidRDefault="00B83458" w:rsidP="002758DC">
      <w:pPr>
        <w:jc w:val="both"/>
        <w:rPr>
          <w:rFonts w:ascii="Times New Roman" w:hAnsi="Times New Roman" w:cs="Times New Roman"/>
          <w:sz w:val="24"/>
          <w:szCs w:val="24"/>
          <w:lang w:val="en-US"/>
        </w:rPr>
      </w:pPr>
    </w:p>
    <w:p w:rsidR="00E86F7F" w:rsidRPr="00AB546F" w:rsidRDefault="00E86F7F" w:rsidP="00C3345A">
      <w:pPr>
        <w:jc w:val="both"/>
        <w:rPr>
          <w:rFonts w:ascii="Times New Roman" w:hAnsi="Times New Roman" w:cs="Times New Roman"/>
          <w:b/>
          <w:sz w:val="20"/>
          <w:szCs w:val="20"/>
          <w:lang w:val="en-GB"/>
        </w:rPr>
      </w:pPr>
      <w:r w:rsidRPr="00AB546F">
        <w:rPr>
          <w:rFonts w:ascii="Times New Roman" w:hAnsi="Times New Roman" w:cs="Times New Roman"/>
          <w:b/>
          <w:sz w:val="20"/>
          <w:szCs w:val="20"/>
          <w:lang w:val="en-GB"/>
        </w:rPr>
        <w:t>References</w:t>
      </w:r>
    </w:p>
    <w:p w:rsidR="008C5DFA" w:rsidRPr="008C5DFA" w:rsidRDefault="00FF0184" w:rsidP="008C5DFA">
      <w:pPr>
        <w:pStyle w:val="Bibliographie"/>
        <w:rPr>
          <w:rFonts w:ascii="Times New Roman" w:hAnsi="Times New Roman" w:cs="Times New Roman"/>
          <w:sz w:val="20"/>
          <w:lang w:val="en-US"/>
        </w:rPr>
      </w:pPr>
      <w:r w:rsidRPr="00AB546F">
        <w:rPr>
          <w:sz w:val="20"/>
          <w:szCs w:val="20"/>
          <w:lang w:val="en-US"/>
        </w:rPr>
        <w:fldChar w:fldCharType="begin"/>
      </w:r>
      <w:r w:rsidR="008C5DFA">
        <w:rPr>
          <w:sz w:val="20"/>
          <w:szCs w:val="20"/>
          <w:lang w:val="en-US"/>
        </w:rPr>
        <w:instrText xml:space="preserve"> ADDIN ZOTERO_BIBL {"custom":[]} CSL_BIBLIOGRAPHY </w:instrText>
      </w:r>
      <w:r w:rsidRPr="00AB546F">
        <w:rPr>
          <w:sz w:val="20"/>
          <w:szCs w:val="20"/>
          <w:lang w:val="en-US"/>
        </w:rPr>
        <w:fldChar w:fldCharType="separate"/>
      </w:r>
      <w:r w:rsidR="008C5DFA" w:rsidRPr="008C5DFA">
        <w:rPr>
          <w:rFonts w:ascii="Times New Roman" w:hAnsi="Times New Roman" w:cs="Times New Roman"/>
          <w:sz w:val="20"/>
          <w:lang w:val="en-US"/>
        </w:rPr>
        <w:t xml:space="preserve">1. </w:t>
      </w:r>
      <w:r w:rsidR="008C5DFA" w:rsidRPr="008C5DFA">
        <w:rPr>
          <w:rFonts w:ascii="Times New Roman" w:hAnsi="Times New Roman" w:cs="Times New Roman"/>
          <w:sz w:val="20"/>
          <w:lang w:val="en-US"/>
        </w:rPr>
        <w:tab/>
      </w:r>
      <w:proofErr w:type="spellStart"/>
      <w:r w:rsidR="008C5DFA" w:rsidRPr="008C5DFA">
        <w:rPr>
          <w:rFonts w:ascii="Times New Roman" w:hAnsi="Times New Roman" w:cs="Times New Roman"/>
          <w:sz w:val="20"/>
          <w:lang w:val="en-US"/>
        </w:rPr>
        <w:t>Arcilla</w:t>
      </w:r>
      <w:proofErr w:type="spellEnd"/>
      <w:r w:rsidR="008C5DFA" w:rsidRPr="008C5DFA">
        <w:rPr>
          <w:rFonts w:ascii="Times New Roman" w:hAnsi="Times New Roman" w:cs="Times New Roman"/>
          <w:sz w:val="20"/>
          <w:lang w:val="en-US"/>
        </w:rPr>
        <w:t xml:space="preserve"> MS, </w:t>
      </w:r>
      <w:proofErr w:type="spellStart"/>
      <w:r w:rsidR="008C5DFA" w:rsidRPr="008C5DFA">
        <w:rPr>
          <w:rFonts w:ascii="Times New Roman" w:hAnsi="Times New Roman" w:cs="Times New Roman"/>
          <w:sz w:val="20"/>
          <w:lang w:val="en-US"/>
        </w:rPr>
        <w:t>Hattem</w:t>
      </w:r>
      <w:proofErr w:type="spellEnd"/>
      <w:r w:rsidR="008C5DFA" w:rsidRPr="008C5DFA">
        <w:rPr>
          <w:rFonts w:ascii="Times New Roman" w:hAnsi="Times New Roman" w:cs="Times New Roman"/>
          <w:sz w:val="20"/>
          <w:lang w:val="en-US"/>
        </w:rPr>
        <w:t xml:space="preserve"> JM van, </w:t>
      </w:r>
      <w:proofErr w:type="spellStart"/>
      <w:r w:rsidR="008C5DFA" w:rsidRPr="008C5DFA">
        <w:rPr>
          <w:rFonts w:ascii="Times New Roman" w:hAnsi="Times New Roman" w:cs="Times New Roman"/>
          <w:sz w:val="20"/>
          <w:lang w:val="en-US"/>
        </w:rPr>
        <w:t>Haverkate</w:t>
      </w:r>
      <w:proofErr w:type="spellEnd"/>
      <w:r w:rsidR="008C5DFA" w:rsidRPr="008C5DFA">
        <w:rPr>
          <w:rFonts w:ascii="Times New Roman" w:hAnsi="Times New Roman" w:cs="Times New Roman"/>
          <w:sz w:val="20"/>
          <w:lang w:val="en-US"/>
        </w:rPr>
        <w:t xml:space="preserve"> MR, et al. Import and spread of extended-spectrum </w:t>
      </w:r>
      <w:r w:rsidR="008C5DFA" w:rsidRPr="008C5DFA">
        <w:rPr>
          <w:rFonts w:ascii="Times New Roman" w:hAnsi="Times New Roman" w:cs="Times New Roman"/>
          <w:sz w:val="20"/>
        </w:rPr>
        <w:t>β</w:t>
      </w:r>
      <w:r w:rsidR="008C5DFA" w:rsidRPr="008C5DFA">
        <w:rPr>
          <w:rFonts w:ascii="Times New Roman" w:hAnsi="Times New Roman" w:cs="Times New Roman"/>
          <w:sz w:val="20"/>
          <w:lang w:val="en-US"/>
        </w:rPr>
        <w:t xml:space="preserve">-lactamase-producing </w:t>
      </w:r>
      <w:proofErr w:type="spellStart"/>
      <w:r w:rsidR="008C5DFA" w:rsidRPr="008C5DFA">
        <w:rPr>
          <w:rFonts w:ascii="Times New Roman" w:hAnsi="Times New Roman" w:cs="Times New Roman"/>
          <w:sz w:val="20"/>
          <w:lang w:val="en-US"/>
        </w:rPr>
        <w:t>Enterobacteriaceae</w:t>
      </w:r>
      <w:proofErr w:type="spellEnd"/>
      <w:r w:rsidR="008C5DFA" w:rsidRPr="008C5DFA">
        <w:rPr>
          <w:rFonts w:ascii="Times New Roman" w:hAnsi="Times New Roman" w:cs="Times New Roman"/>
          <w:sz w:val="20"/>
          <w:lang w:val="en-US"/>
        </w:rPr>
        <w:t xml:space="preserve"> by international </w:t>
      </w:r>
      <w:proofErr w:type="spellStart"/>
      <w:r w:rsidR="008C5DFA" w:rsidRPr="008C5DFA">
        <w:rPr>
          <w:rFonts w:ascii="Times New Roman" w:hAnsi="Times New Roman" w:cs="Times New Roman"/>
          <w:sz w:val="20"/>
          <w:lang w:val="en-US"/>
        </w:rPr>
        <w:t>travellers</w:t>
      </w:r>
      <w:proofErr w:type="spellEnd"/>
      <w:r w:rsidR="008C5DFA" w:rsidRPr="008C5DFA">
        <w:rPr>
          <w:rFonts w:ascii="Times New Roman" w:hAnsi="Times New Roman" w:cs="Times New Roman"/>
          <w:sz w:val="20"/>
          <w:lang w:val="en-US"/>
        </w:rPr>
        <w:t xml:space="preserve"> (COMBAT study): a prospective, </w:t>
      </w:r>
      <w:proofErr w:type="spellStart"/>
      <w:r w:rsidR="008C5DFA" w:rsidRPr="008C5DFA">
        <w:rPr>
          <w:rFonts w:ascii="Times New Roman" w:hAnsi="Times New Roman" w:cs="Times New Roman"/>
          <w:sz w:val="20"/>
          <w:lang w:val="en-US"/>
        </w:rPr>
        <w:t>multicentre</w:t>
      </w:r>
      <w:proofErr w:type="spellEnd"/>
      <w:r w:rsidR="008C5DFA" w:rsidRPr="008C5DFA">
        <w:rPr>
          <w:rFonts w:ascii="Times New Roman" w:hAnsi="Times New Roman" w:cs="Times New Roman"/>
          <w:sz w:val="20"/>
          <w:lang w:val="en-US"/>
        </w:rPr>
        <w:t xml:space="preserve"> cohort study. Lancet Infect Dis. </w:t>
      </w:r>
      <w:r w:rsidR="008C5DFA" w:rsidRPr="008C5DFA">
        <w:rPr>
          <w:rFonts w:ascii="Times New Roman" w:hAnsi="Times New Roman" w:cs="Times New Roman"/>
          <w:b/>
          <w:bCs/>
          <w:sz w:val="20"/>
          <w:lang w:val="en-US"/>
        </w:rPr>
        <w:t>2017</w:t>
      </w:r>
      <w:proofErr w:type="gramStart"/>
      <w:r w:rsidR="008C5DFA" w:rsidRPr="008C5DFA">
        <w:rPr>
          <w:rFonts w:ascii="Times New Roman" w:hAnsi="Times New Roman" w:cs="Times New Roman"/>
          <w:sz w:val="20"/>
          <w:lang w:val="en-US"/>
        </w:rPr>
        <w:t>;</w:t>
      </w:r>
      <w:proofErr w:type="gramEnd"/>
      <w:r w:rsidR="008C5DFA" w:rsidRPr="008C5DFA">
        <w:rPr>
          <w:rFonts w:ascii="Times New Roman" w:hAnsi="Times New Roman" w:cs="Times New Roman"/>
          <w:sz w:val="20"/>
          <w:lang w:val="en-US"/>
        </w:rPr>
        <w:t xml:space="preserve"> 17(1):78–85.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lastRenderedPageBreak/>
        <w:t xml:space="preserve">2.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Sabuncu</w:t>
      </w:r>
      <w:proofErr w:type="spellEnd"/>
      <w:r w:rsidRPr="008C5DFA">
        <w:rPr>
          <w:rFonts w:ascii="Times New Roman" w:hAnsi="Times New Roman" w:cs="Times New Roman"/>
          <w:sz w:val="20"/>
          <w:lang w:val="en-US"/>
        </w:rPr>
        <w:t xml:space="preserve"> E, David J, </w:t>
      </w:r>
      <w:proofErr w:type="spellStart"/>
      <w:r w:rsidRPr="008C5DFA">
        <w:rPr>
          <w:rFonts w:ascii="Times New Roman" w:hAnsi="Times New Roman" w:cs="Times New Roman"/>
          <w:sz w:val="20"/>
          <w:lang w:val="en-US"/>
        </w:rPr>
        <w:t>Bernède-Bauduin</w:t>
      </w:r>
      <w:proofErr w:type="spellEnd"/>
      <w:r w:rsidRPr="008C5DFA">
        <w:rPr>
          <w:rFonts w:ascii="Times New Roman" w:hAnsi="Times New Roman" w:cs="Times New Roman"/>
          <w:sz w:val="20"/>
          <w:lang w:val="en-US"/>
        </w:rPr>
        <w:t xml:space="preserve"> C, et al. Significant reduction of antibiotic use in the community after a nationwide campaign in France, 2002-2007. </w:t>
      </w:r>
      <w:proofErr w:type="spellStart"/>
      <w:r w:rsidRPr="008C5DFA">
        <w:rPr>
          <w:rFonts w:ascii="Times New Roman" w:hAnsi="Times New Roman" w:cs="Times New Roman"/>
          <w:sz w:val="20"/>
          <w:lang w:val="en-US"/>
        </w:rPr>
        <w:t>PLoS</w:t>
      </w:r>
      <w:proofErr w:type="spellEnd"/>
      <w:r w:rsidRPr="008C5DFA">
        <w:rPr>
          <w:rFonts w:ascii="Times New Roman" w:hAnsi="Times New Roman" w:cs="Times New Roman"/>
          <w:sz w:val="20"/>
          <w:lang w:val="en-US"/>
        </w:rPr>
        <w:t xml:space="preserve"> Med. </w:t>
      </w:r>
      <w:r w:rsidRPr="008C5DFA">
        <w:rPr>
          <w:rFonts w:ascii="Times New Roman" w:hAnsi="Times New Roman" w:cs="Times New Roman"/>
          <w:b/>
          <w:bCs/>
          <w:sz w:val="20"/>
          <w:lang w:val="en-US"/>
        </w:rPr>
        <w:t>2009</w:t>
      </w:r>
      <w:proofErr w:type="gramStart"/>
      <w:r w:rsidRPr="008C5DFA">
        <w:rPr>
          <w:rFonts w:ascii="Times New Roman" w:hAnsi="Times New Roman" w:cs="Times New Roman"/>
          <w:sz w:val="20"/>
          <w:lang w:val="en-US"/>
        </w:rPr>
        <w:t>;</w:t>
      </w:r>
      <w:proofErr w:type="gramEnd"/>
      <w:r w:rsidRPr="008C5DFA">
        <w:rPr>
          <w:rFonts w:ascii="Times New Roman" w:hAnsi="Times New Roman" w:cs="Times New Roman"/>
          <w:sz w:val="20"/>
          <w:lang w:val="en-US"/>
        </w:rPr>
        <w:t xml:space="preserve"> 6(6):e1000084.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3. </w:t>
      </w:r>
      <w:r w:rsidRPr="008C5DFA">
        <w:rPr>
          <w:rFonts w:ascii="Times New Roman" w:hAnsi="Times New Roman" w:cs="Times New Roman"/>
          <w:sz w:val="20"/>
          <w:lang w:val="en-US"/>
        </w:rPr>
        <w:tab/>
        <w:t xml:space="preserve">ANSM. </w:t>
      </w:r>
      <w:proofErr w:type="spellStart"/>
      <w:r w:rsidRPr="008C5DFA">
        <w:rPr>
          <w:rFonts w:ascii="Times New Roman" w:hAnsi="Times New Roman" w:cs="Times New Roman"/>
          <w:sz w:val="20"/>
          <w:lang w:val="en-US"/>
        </w:rPr>
        <w:t>L’évolution</w:t>
      </w:r>
      <w:proofErr w:type="spellEnd"/>
      <w:r w:rsidRPr="008C5DFA">
        <w:rPr>
          <w:rFonts w:ascii="Times New Roman" w:hAnsi="Times New Roman" w:cs="Times New Roman"/>
          <w:sz w:val="20"/>
          <w:lang w:val="en-US"/>
        </w:rPr>
        <w:t xml:space="preserve"> des </w:t>
      </w:r>
      <w:proofErr w:type="spellStart"/>
      <w:proofErr w:type="gramStart"/>
      <w:r w:rsidRPr="008C5DFA">
        <w:rPr>
          <w:rFonts w:ascii="Times New Roman" w:hAnsi="Times New Roman" w:cs="Times New Roman"/>
          <w:sz w:val="20"/>
          <w:lang w:val="en-US"/>
        </w:rPr>
        <w:t>consommations</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d’antibiotiques</w:t>
      </w:r>
      <w:proofErr w:type="spellEnd"/>
      <w:proofErr w:type="gram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en</w:t>
      </w:r>
      <w:proofErr w:type="spellEnd"/>
      <w:r w:rsidRPr="008C5DFA">
        <w:rPr>
          <w:rFonts w:ascii="Times New Roman" w:hAnsi="Times New Roman" w:cs="Times New Roman"/>
          <w:sz w:val="20"/>
          <w:lang w:val="en-US"/>
        </w:rPr>
        <w:t xml:space="preserve"> France  entre 2000 et 2015 [Internet]. </w:t>
      </w:r>
      <w:proofErr w:type="gramStart"/>
      <w:r w:rsidRPr="008C5DFA">
        <w:rPr>
          <w:rFonts w:ascii="Times New Roman" w:hAnsi="Times New Roman" w:cs="Times New Roman"/>
          <w:sz w:val="20"/>
          <w:lang w:val="en-US"/>
        </w:rPr>
        <w:t>2017</w:t>
      </w:r>
      <w:proofErr w:type="gramEnd"/>
      <w:r w:rsidRPr="008C5DFA">
        <w:rPr>
          <w:rFonts w:ascii="Times New Roman" w:hAnsi="Times New Roman" w:cs="Times New Roman"/>
          <w:sz w:val="20"/>
          <w:lang w:val="en-US"/>
        </w:rPr>
        <w:t xml:space="preserve"> [cited 2019 Jan 15]. Available from: https://ansm.sante.fr/var/ansm_site/storage/original/application/188a6b5cf9cde90848ae9e3419bc3d3f.pdf</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4. </w:t>
      </w:r>
      <w:r w:rsidRPr="008C5DFA">
        <w:rPr>
          <w:rFonts w:ascii="Times New Roman" w:hAnsi="Times New Roman" w:cs="Times New Roman"/>
          <w:sz w:val="20"/>
          <w:lang w:val="en-US"/>
        </w:rPr>
        <w:tab/>
        <w:t xml:space="preserve">Pessoa-Silva CL, </w:t>
      </w:r>
      <w:proofErr w:type="spellStart"/>
      <w:r w:rsidRPr="008C5DFA">
        <w:rPr>
          <w:rFonts w:ascii="Times New Roman" w:hAnsi="Times New Roman" w:cs="Times New Roman"/>
          <w:sz w:val="20"/>
          <w:lang w:val="en-US"/>
        </w:rPr>
        <w:t>Dharan</w:t>
      </w:r>
      <w:proofErr w:type="spellEnd"/>
      <w:r w:rsidRPr="008C5DFA">
        <w:rPr>
          <w:rFonts w:ascii="Times New Roman" w:hAnsi="Times New Roman" w:cs="Times New Roman"/>
          <w:sz w:val="20"/>
          <w:lang w:val="en-US"/>
        </w:rPr>
        <w:t xml:space="preserve"> S, </w:t>
      </w:r>
      <w:proofErr w:type="spellStart"/>
      <w:r w:rsidRPr="008C5DFA">
        <w:rPr>
          <w:rFonts w:ascii="Times New Roman" w:hAnsi="Times New Roman" w:cs="Times New Roman"/>
          <w:sz w:val="20"/>
          <w:lang w:val="en-US"/>
        </w:rPr>
        <w:t>Hugonnet</w:t>
      </w:r>
      <w:proofErr w:type="spellEnd"/>
      <w:r w:rsidRPr="008C5DFA">
        <w:rPr>
          <w:rFonts w:ascii="Times New Roman" w:hAnsi="Times New Roman" w:cs="Times New Roman"/>
          <w:sz w:val="20"/>
          <w:lang w:val="en-US"/>
        </w:rPr>
        <w:t xml:space="preserve"> S, et al. Dynamics of bacterial hand contamination during routine neonatal care. Infect Control </w:t>
      </w:r>
      <w:proofErr w:type="spellStart"/>
      <w:r w:rsidRPr="008C5DFA">
        <w:rPr>
          <w:rFonts w:ascii="Times New Roman" w:hAnsi="Times New Roman" w:cs="Times New Roman"/>
          <w:sz w:val="20"/>
          <w:lang w:val="en-US"/>
        </w:rPr>
        <w:t>Hosp</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Epidemiol</w:t>
      </w:r>
      <w:proofErr w:type="spellEnd"/>
      <w:r w:rsidRPr="008C5DFA">
        <w:rPr>
          <w:rFonts w:ascii="Times New Roman" w:hAnsi="Times New Roman" w:cs="Times New Roman"/>
          <w:sz w:val="20"/>
          <w:lang w:val="en-US"/>
        </w:rPr>
        <w:t xml:space="preserve">. </w:t>
      </w:r>
      <w:proofErr w:type="gramStart"/>
      <w:r w:rsidRPr="008C5DFA">
        <w:rPr>
          <w:rFonts w:ascii="Times New Roman" w:hAnsi="Times New Roman" w:cs="Times New Roman"/>
          <w:b/>
          <w:bCs/>
          <w:sz w:val="20"/>
          <w:lang w:val="en-US"/>
        </w:rPr>
        <w:t>2004</w:t>
      </w:r>
      <w:proofErr w:type="gramEnd"/>
      <w:r w:rsidRPr="008C5DFA">
        <w:rPr>
          <w:rFonts w:ascii="Times New Roman" w:hAnsi="Times New Roman" w:cs="Times New Roman"/>
          <w:sz w:val="20"/>
          <w:lang w:val="en-US"/>
        </w:rPr>
        <w:t xml:space="preserve">; 25(3):192–197.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5.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Bellissimo</w:t>
      </w:r>
      <w:proofErr w:type="spellEnd"/>
      <w:r w:rsidRPr="008C5DFA">
        <w:rPr>
          <w:rFonts w:ascii="Times New Roman" w:hAnsi="Times New Roman" w:cs="Times New Roman"/>
          <w:sz w:val="20"/>
          <w:lang w:val="en-US"/>
        </w:rPr>
        <w:t xml:space="preserve">-Rodrigues F, </w:t>
      </w:r>
      <w:proofErr w:type="spellStart"/>
      <w:r w:rsidRPr="008C5DFA">
        <w:rPr>
          <w:rFonts w:ascii="Times New Roman" w:hAnsi="Times New Roman" w:cs="Times New Roman"/>
          <w:sz w:val="20"/>
          <w:lang w:val="en-US"/>
        </w:rPr>
        <w:t>Pires</w:t>
      </w:r>
      <w:proofErr w:type="spellEnd"/>
      <w:r w:rsidRPr="008C5DFA">
        <w:rPr>
          <w:rFonts w:ascii="Times New Roman" w:hAnsi="Times New Roman" w:cs="Times New Roman"/>
          <w:sz w:val="20"/>
          <w:lang w:val="en-US"/>
        </w:rPr>
        <w:t xml:space="preserve"> D, Soule H, </w:t>
      </w:r>
      <w:proofErr w:type="spellStart"/>
      <w:r w:rsidRPr="008C5DFA">
        <w:rPr>
          <w:rFonts w:ascii="Times New Roman" w:hAnsi="Times New Roman" w:cs="Times New Roman"/>
          <w:sz w:val="20"/>
          <w:lang w:val="en-US"/>
        </w:rPr>
        <w:t>Gayet-Ageron</w:t>
      </w:r>
      <w:proofErr w:type="spellEnd"/>
      <w:r w:rsidRPr="008C5DFA">
        <w:rPr>
          <w:rFonts w:ascii="Times New Roman" w:hAnsi="Times New Roman" w:cs="Times New Roman"/>
          <w:sz w:val="20"/>
          <w:lang w:val="en-US"/>
        </w:rPr>
        <w:t xml:space="preserve"> A, </w:t>
      </w:r>
      <w:proofErr w:type="spellStart"/>
      <w:r w:rsidRPr="008C5DFA">
        <w:rPr>
          <w:rFonts w:ascii="Times New Roman" w:hAnsi="Times New Roman" w:cs="Times New Roman"/>
          <w:sz w:val="20"/>
          <w:lang w:val="en-US"/>
        </w:rPr>
        <w:t>Pittet</w:t>
      </w:r>
      <w:proofErr w:type="spellEnd"/>
      <w:r w:rsidRPr="008C5DFA">
        <w:rPr>
          <w:rFonts w:ascii="Times New Roman" w:hAnsi="Times New Roman" w:cs="Times New Roman"/>
          <w:sz w:val="20"/>
          <w:lang w:val="en-US"/>
        </w:rPr>
        <w:t xml:space="preserve"> D. Assessing the Likelihood of Hand-to-Hand Cross-Transmission of Bacteria: An Experimental Study. Infect Control </w:t>
      </w:r>
      <w:proofErr w:type="spellStart"/>
      <w:r w:rsidRPr="008C5DFA">
        <w:rPr>
          <w:rFonts w:ascii="Times New Roman" w:hAnsi="Times New Roman" w:cs="Times New Roman"/>
          <w:sz w:val="20"/>
          <w:lang w:val="en-US"/>
        </w:rPr>
        <w:t>Hosp</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Epidemiol</w:t>
      </w:r>
      <w:proofErr w:type="spellEnd"/>
      <w:r w:rsidRPr="008C5DFA">
        <w:rPr>
          <w:rFonts w:ascii="Times New Roman" w:hAnsi="Times New Roman" w:cs="Times New Roman"/>
          <w:sz w:val="20"/>
          <w:lang w:val="en-US"/>
        </w:rPr>
        <w:t xml:space="preserve">. </w:t>
      </w:r>
      <w:proofErr w:type="gramStart"/>
      <w:r w:rsidRPr="008C5DFA">
        <w:rPr>
          <w:rFonts w:ascii="Times New Roman" w:hAnsi="Times New Roman" w:cs="Times New Roman"/>
          <w:b/>
          <w:bCs/>
          <w:sz w:val="20"/>
          <w:lang w:val="en-US"/>
        </w:rPr>
        <w:t>2017</w:t>
      </w:r>
      <w:proofErr w:type="gramEnd"/>
      <w:r w:rsidRPr="008C5DFA">
        <w:rPr>
          <w:rFonts w:ascii="Times New Roman" w:hAnsi="Times New Roman" w:cs="Times New Roman"/>
          <w:sz w:val="20"/>
          <w:lang w:val="en-US"/>
        </w:rPr>
        <w:t xml:space="preserve">; 38(5):553–558.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6. </w:t>
      </w:r>
      <w:r w:rsidRPr="008C5DFA">
        <w:rPr>
          <w:rFonts w:ascii="Times New Roman" w:hAnsi="Times New Roman" w:cs="Times New Roman"/>
          <w:sz w:val="20"/>
          <w:lang w:val="en-US"/>
        </w:rPr>
        <w:tab/>
        <w:t xml:space="preserve">Scott E, Bloomfield SF. The survival and transfer of microbial contamination via cloths, hands and utensils. J </w:t>
      </w:r>
      <w:proofErr w:type="spellStart"/>
      <w:r w:rsidRPr="008C5DFA">
        <w:rPr>
          <w:rFonts w:ascii="Times New Roman" w:hAnsi="Times New Roman" w:cs="Times New Roman"/>
          <w:sz w:val="20"/>
          <w:lang w:val="en-US"/>
        </w:rPr>
        <w:t>Appl</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Bacteriol</w:t>
      </w:r>
      <w:proofErr w:type="spellEnd"/>
      <w:r w:rsidRPr="008C5DFA">
        <w:rPr>
          <w:rFonts w:ascii="Times New Roman" w:hAnsi="Times New Roman" w:cs="Times New Roman"/>
          <w:sz w:val="20"/>
          <w:lang w:val="en-US"/>
        </w:rPr>
        <w:t xml:space="preserve">. </w:t>
      </w:r>
      <w:proofErr w:type="gramStart"/>
      <w:r w:rsidRPr="008C5DFA">
        <w:rPr>
          <w:rFonts w:ascii="Times New Roman" w:hAnsi="Times New Roman" w:cs="Times New Roman"/>
          <w:b/>
          <w:bCs/>
          <w:sz w:val="20"/>
          <w:lang w:val="en-US"/>
        </w:rPr>
        <w:t>1990</w:t>
      </w:r>
      <w:proofErr w:type="gramEnd"/>
      <w:r w:rsidRPr="008C5DFA">
        <w:rPr>
          <w:rFonts w:ascii="Times New Roman" w:hAnsi="Times New Roman" w:cs="Times New Roman"/>
          <w:sz w:val="20"/>
          <w:lang w:val="en-US"/>
        </w:rPr>
        <w:t xml:space="preserve">; 68(3):271–278.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7. </w:t>
      </w:r>
      <w:r w:rsidRPr="008C5DFA">
        <w:rPr>
          <w:rFonts w:ascii="Times New Roman" w:hAnsi="Times New Roman" w:cs="Times New Roman"/>
          <w:sz w:val="20"/>
          <w:lang w:val="en-US"/>
        </w:rPr>
        <w:tab/>
        <w:t xml:space="preserve">Gibson LL, Rose JB, Haas CN, </w:t>
      </w:r>
      <w:proofErr w:type="spellStart"/>
      <w:r w:rsidRPr="008C5DFA">
        <w:rPr>
          <w:rFonts w:ascii="Times New Roman" w:hAnsi="Times New Roman" w:cs="Times New Roman"/>
          <w:sz w:val="20"/>
          <w:lang w:val="en-US"/>
        </w:rPr>
        <w:t>Gerba</w:t>
      </w:r>
      <w:proofErr w:type="spellEnd"/>
      <w:r w:rsidRPr="008C5DFA">
        <w:rPr>
          <w:rFonts w:ascii="Times New Roman" w:hAnsi="Times New Roman" w:cs="Times New Roman"/>
          <w:sz w:val="20"/>
          <w:lang w:val="en-US"/>
        </w:rPr>
        <w:t xml:space="preserve"> CP, </w:t>
      </w:r>
      <w:proofErr w:type="spellStart"/>
      <w:r w:rsidRPr="008C5DFA">
        <w:rPr>
          <w:rFonts w:ascii="Times New Roman" w:hAnsi="Times New Roman" w:cs="Times New Roman"/>
          <w:sz w:val="20"/>
          <w:lang w:val="en-US"/>
        </w:rPr>
        <w:t>Rusin</w:t>
      </w:r>
      <w:proofErr w:type="spellEnd"/>
      <w:r w:rsidRPr="008C5DFA">
        <w:rPr>
          <w:rFonts w:ascii="Times New Roman" w:hAnsi="Times New Roman" w:cs="Times New Roman"/>
          <w:sz w:val="20"/>
          <w:lang w:val="en-US"/>
        </w:rPr>
        <w:t xml:space="preserve"> PA. Quantitative assessment of risk reduction from hand washing with antibacterial soaps. J </w:t>
      </w:r>
      <w:proofErr w:type="spellStart"/>
      <w:r w:rsidRPr="008C5DFA">
        <w:rPr>
          <w:rFonts w:ascii="Times New Roman" w:hAnsi="Times New Roman" w:cs="Times New Roman"/>
          <w:sz w:val="20"/>
          <w:lang w:val="en-US"/>
        </w:rPr>
        <w:t>Appl</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Microbiol</w:t>
      </w:r>
      <w:proofErr w:type="spellEnd"/>
      <w:r w:rsidRPr="008C5DFA">
        <w:rPr>
          <w:rFonts w:ascii="Times New Roman" w:hAnsi="Times New Roman" w:cs="Times New Roman"/>
          <w:sz w:val="20"/>
          <w:lang w:val="en-US"/>
        </w:rPr>
        <w:t xml:space="preserve">. </w:t>
      </w:r>
      <w:r w:rsidRPr="008C5DFA">
        <w:rPr>
          <w:rFonts w:ascii="Times New Roman" w:hAnsi="Times New Roman" w:cs="Times New Roman"/>
          <w:b/>
          <w:bCs/>
          <w:sz w:val="20"/>
          <w:lang w:val="en-US"/>
        </w:rPr>
        <w:t>2002</w:t>
      </w:r>
      <w:r w:rsidRPr="008C5DFA">
        <w:rPr>
          <w:rFonts w:ascii="Times New Roman" w:hAnsi="Times New Roman" w:cs="Times New Roman"/>
          <w:sz w:val="20"/>
          <w:lang w:val="en-US"/>
        </w:rPr>
        <w:t>; 92 Suppl</w:t>
      </w:r>
      <w:proofErr w:type="gramStart"/>
      <w:r w:rsidRPr="008C5DFA">
        <w:rPr>
          <w:rFonts w:ascii="Times New Roman" w:hAnsi="Times New Roman" w:cs="Times New Roman"/>
          <w:sz w:val="20"/>
          <w:lang w:val="en-US"/>
        </w:rPr>
        <w:t>:136S</w:t>
      </w:r>
      <w:proofErr w:type="gramEnd"/>
      <w:r w:rsidRPr="008C5DFA">
        <w:rPr>
          <w:rFonts w:ascii="Times New Roman" w:hAnsi="Times New Roman" w:cs="Times New Roman"/>
          <w:sz w:val="20"/>
          <w:lang w:val="en-US"/>
        </w:rPr>
        <w:t xml:space="preserve">–43S.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8. </w:t>
      </w:r>
      <w:r w:rsidRPr="008C5DFA">
        <w:rPr>
          <w:rFonts w:ascii="Times New Roman" w:hAnsi="Times New Roman" w:cs="Times New Roman"/>
          <w:sz w:val="20"/>
          <w:lang w:val="en-US"/>
        </w:rPr>
        <w:tab/>
      </w:r>
      <w:r w:rsidRPr="008C5DFA">
        <w:rPr>
          <w:rFonts w:ascii="Times New Roman" w:hAnsi="Times New Roman" w:cs="Times New Roman"/>
          <w:sz w:val="20"/>
        </w:rPr>
        <w:t xml:space="preserve">Cheng VCC, Li IWS, Wu AKL, et al. </w:t>
      </w:r>
      <w:r w:rsidRPr="008C5DFA">
        <w:rPr>
          <w:rFonts w:ascii="Times New Roman" w:hAnsi="Times New Roman" w:cs="Times New Roman"/>
          <w:sz w:val="20"/>
          <w:lang w:val="en-US"/>
        </w:rPr>
        <w:t xml:space="preserve">Effect of antibiotics on the bacterial load of </w:t>
      </w:r>
      <w:proofErr w:type="spellStart"/>
      <w:r w:rsidRPr="008C5DFA">
        <w:rPr>
          <w:rFonts w:ascii="Times New Roman" w:hAnsi="Times New Roman" w:cs="Times New Roman"/>
          <w:sz w:val="20"/>
          <w:lang w:val="en-US"/>
        </w:rPr>
        <w:t>meticillin</w:t>
      </w:r>
      <w:proofErr w:type="spellEnd"/>
      <w:r w:rsidRPr="008C5DFA">
        <w:rPr>
          <w:rFonts w:ascii="Times New Roman" w:hAnsi="Times New Roman" w:cs="Times New Roman"/>
          <w:sz w:val="20"/>
          <w:lang w:val="en-US"/>
        </w:rPr>
        <w:t xml:space="preserve">-resistant Staphylococcus aureus </w:t>
      </w:r>
      <w:proofErr w:type="spellStart"/>
      <w:r w:rsidRPr="008C5DFA">
        <w:rPr>
          <w:rFonts w:ascii="Times New Roman" w:hAnsi="Times New Roman" w:cs="Times New Roman"/>
          <w:sz w:val="20"/>
          <w:lang w:val="en-US"/>
        </w:rPr>
        <w:t>colonisation</w:t>
      </w:r>
      <w:proofErr w:type="spellEnd"/>
      <w:r w:rsidRPr="008C5DFA">
        <w:rPr>
          <w:rFonts w:ascii="Times New Roman" w:hAnsi="Times New Roman" w:cs="Times New Roman"/>
          <w:sz w:val="20"/>
          <w:lang w:val="en-US"/>
        </w:rPr>
        <w:t xml:space="preserve"> in anterior nares. J </w:t>
      </w:r>
      <w:proofErr w:type="spellStart"/>
      <w:r w:rsidRPr="008C5DFA">
        <w:rPr>
          <w:rFonts w:ascii="Times New Roman" w:hAnsi="Times New Roman" w:cs="Times New Roman"/>
          <w:sz w:val="20"/>
          <w:lang w:val="en-US"/>
        </w:rPr>
        <w:t>Hosp</w:t>
      </w:r>
      <w:proofErr w:type="spellEnd"/>
      <w:r w:rsidRPr="008C5DFA">
        <w:rPr>
          <w:rFonts w:ascii="Times New Roman" w:hAnsi="Times New Roman" w:cs="Times New Roman"/>
          <w:sz w:val="20"/>
          <w:lang w:val="en-US"/>
        </w:rPr>
        <w:t xml:space="preserve"> Infect. </w:t>
      </w:r>
      <w:proofErr w:type="gramStart"/>
      <w:r w:rsidRPr="008C5DFA">
        <w:rPr>
          <w:rFonts w:ascii="Times New Roman" w:hAnsi="Times New Roman" w:cs="Times New Roman"/>
          <w:b/>
          <w:bCs/>
          <w:sz w:val="20"/>
          <w:lang w:val="en-US"/>
        </w:rPr>
        <w:t>2008</w:t>
      </w:r>
      <w:proofErr w:type="gramEnd"/>
      <w:r w:rsidRPr="008C5DFA">
        <w:rPr>
          <w:rFonts w:ascii="Times New Roman" w:hAnsi="Times New Roman" w:cs="Times New Roman"/>
          <w:sz w:val="20"/>
          <w:lang w:val="en-US"/>
        </w:rPr>
        <w:t xml:space="preserve">; 70(1):27–34.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9. </w:t>
      </w:r>
      <w:r w:rsidRPr="008C5DFA">
        <w:rPr>
          <w:rFonts w:ascii="Times New Roman" w:hAnsi="Times New Roman" w:cs="Times New Roman"/>
          <w:sz w:val="20"/>
          <w:lang w:val="en-US"/>
        </w:rPr>
        <w:tab/>
        <w:t xml:space="preserve">Wang J, Wang M, Huang Y, et al. Colonization pressure adjusted by degree of environmental contamination: A better indicator for predicting methicillin-resistant Staphylococcus aureus acquisition. Am J Infect </w:t>
      </w:r>
      <w:proofErr w:type="gramStart"/>
      <w:r w:rsidRPr="008C5DFA">
        <w:rPr>
          <w:rFonts w:ascii="Times New Roman" w:hAnsi="Times New Roman" w:cs="Times New Roman"/>
          <w:sz w:val="20"/>
          <w:lang w:val="en-US"/>
        </w:rPr>
        <w:t>Control.</w:t>
      </w:r>
      <w:proofErr w:type="gramEnd"/>
      <w:r w:rsidRPr="008C5DFA">
        <w:rPr>
          <w:rFonts w:ascii="Times New Roman" w:hAnsi="Times New Roman" w:cs="Times New Roman"/>
          <w:sz w:val="20"/>
          <w:lang w:val="en-US"/>
        </w:rPr>
        <w:t xml:space="preserve"> </w:t>
      </w:r>
      <w:proofErr w:type="gramStart"/>
      <w:r w:rsidRPr="008C5DFA">
        <w:rPr>
          <w:rFonts w:ascii="Times New Roman" w:hAnsi="Times New Roman" w:cs="Times New Roman"/>
          <w:b/>
          <w:bCs/>
          <w:sz w:val="20"/>
          <w:lang w:val="en-US"/>
        </w:rPr>
        <w:t>2011</w:t>
      </w:r>
      <w:proofErr w:type="gramEnd"/>
      <w:r w:rsidRPr="008C5DFA">
        <w:rPr>
          <w:rFonts w:ascii="Times New Roman" w:hAnsi="Times New Roman" w:cs="Times New Roman"/>
          <w:sz w:val="20"/>
          <w:lang w:val="en-US"/>
        </w:rPr>
        <w:t xml:space="preserve">; 39(9):763–769.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10.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Hilliquin</w:t>
      </w:r>
      <w:proofErr w:type="spellEnd"/>
      <w:r w:rsidRPr="008C5DFA">
        <w:rPr>
          <w:rFonts w:ascii="Times New Roman" w:hAnsi="Times New Roman" w:cs="Times New Roman"/>
          <w:sz w:val="20"/>
          <w:lang w:val="en-US"/>
        </w:rPr>
        <w:t xml:space="preserve"> D, Le </w:t>
      </w:r>
      <w:proofErr w:type="spellStart"/>
      <w:r w:rsidRPr="008C5DFA">
        <w:rPr>
          <w:rFonts w:ascii="Times New Roman" w:hAnsi="Times New Roman" w:cs="Times New Roman"/>
          <w:sz w:val="20"/>
          <w:lang w:val="en-US"/>
        </w:rPr>
        <w:t>Guern</w:t>
      </w:r>
      <w:proofErr w:type="spellEnd"/>
      <w:r w:rsidRPr="008C5DFA">
        <w:rPr>
          <w:rFonts w:ascii="Times New Roman" w:hAnsi="Times New Roman" w:cs="Times New Roman"/>
          <w:sz w:val="20"/>
          <w:lang w:val="en-US"/>
        </w:rPr>
        <w:t xml:space="preserve"> R, </w:t>
      </w:r>
      <w:proofErr w:type="spellStart"/>
      <w:r w:rsidRPr="008C5DFA">
        <w:rPr>
          <w:rFonts w:ascii="Times New Roman" w:hAnsi="Times New Roman" w:cs="Times New Roman"/>
          <w:sz w:val="20"/>
          <w:lang w:val="en-US"/>
        </w:rPr>
        <w:t>Thepot</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Seegers</w:t>
      </w:r>
      <w:proofErr w:type="spellEnd"/>
      <w:r w:rsidRPr="008C5DFA">
        <w:rPr>
          <w:rFonts w:ascii="Times New Roman" w:hAnsi="Times New Roman" w:cs="Times New Roman"/>
          <w:sz w:val="20"/>
          <w:lang w:val="en-US"/>
        </w:rPr>
        <w:t xml:space="preserve"> V, et al. Risk factors for acquisition of OXA-48-producing </w:t>
      </w:r>
      <w:proofErr w:type="spellStart"/>
      <w:r w:rsidRPr="008C5DFA">
        <w:rPr>
          <w:rFonts w:ascii="Times New Roman" w:hAnsi="Times New Roman" w:cs="Times New Roman"/>
          <w:sz w:val="20"/>
          <w:lang w:val="en-US"/>
        </w:rPr>
        <w:t>Klebsiella</w:t>
      </w:r>
      <w:proofErr w:type="spellEnd"/>
      <w:r w:rsidRPr="008C5DFA">
        <w:rPr>
          <w:rFonts w:ascii="Times New Roman" w:hAnsi="Times New Roman" w:cs="Times New Roman"/>
          <w:sz w:val="20"/>
          <w:lang w:val="en-US"/>
        </w:rPr>
        <w:t xml:space="preserve"> pneumonia among contact patients: a </w:t>
      </w:r>
      <w:proofErr w:type="spellStart"/>
      <w:r w:rsidRPr="008C5DFA">
        <w:rPr>
          <w:rFonts w:ascii="Times New Roman" w:hAnsi="Times New Roman" w:cs="Times New Roman"/>
          <w:sz w:val="20"/>
          <w:lang w:val="en-US"/>
        </w:rPr>
        <w:t>multicentre</w:t>
      </w:r>
      <w:proofErr w:type="spellEnd"/>
      <w:r w:rsidRPr="008C5DFA">
        <w:rPr>
          <w:rFonts w:ascii="Times New Roman" w:hAnsi="Times New Roman" w:cs="Times New Roman"/>
          <w:sz w:val="20"/>
          <w:lang w:val="en-US"/>
        </w:rPr>
        <w:t xml:space="preserve"> study. J </w:t>
      </w:r>
      <w:proofErr w:type="spellStart"/>
      <w:r w:rsidRPr="008C5DFA">
        <w:rPr>
          <w:rFonts w:ascii="Times New Roman" w:hAnsi="Times New Roman" w:cs="Times New Roman"/>
          <w:sz w:val="20"/>
          <w:lang w:val="en-US"/>
        </w:rPr>
        <w:t>Hosp</w:t>
      </w:r>
      <w:proofErr w:type="spellEnd"/>
      <w:r w:rsidRPr="008C5DFA">
        <w:rPr>
          <w:rFonts w:ascii="Times New Roman" w:hAnsi="Times New Roman" w:cs="Times New Roman"/>
          <w:sz w:val="20"/>
          <w:lang w:val="en-US"/>
        </w:rPr>
        <w:t xml:space="preserve"> Infect. </w:t>
      </w:r>
      <w:proofErr w:type="gramStart"/>
      <w:r w:rsidRPr="008C5DFA">
        <w:rPr>
          <w:rFonts w:ascii="Times New Roman" w:hAnsi="Times New Roman" w:cs="Times New Roman"/>
          <w:b/>
          <w:bCs/>
          <w:sz w:val="20"/>
          <w:lang w:val="en-US"/>
        </w:rPr>
        <w:t>2018</w:t>
      </w:r>
      <w:proofErr w:type="gramEnd"/>
      <w:r w:rsidRPr="008C5DFA">
        <w:rPr>
          <w:rFonts w:ascii="Times New Roman" w:hAnsi="Times New Roman" w:cs="Times New Roman"/>
          <w:sz w:val="20"/>
          <w:lang w:val="en-US"/>
        </w:rPr>
        <w:t xml:space="preserve">; 98(3):253–259.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11.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Carmeli</w:t>
      </w:r>
      <w:proofErr w:type="spellEnd"/>
      <w:r w:rsidRPr="008C5DFA">
        <w:rPr>
          <w:rFonts w:ascii="Times New Roman" w:hAnsi="Times New Roman" w:cs="Times New Roman"/>
          <w:sz w:val="20"/>
          <w:lang w:val="en-US"/>
        </w:rPr>
        <w:t xml:space="preserve"> Y, Eliopoulos GM, </w:t>
      </w:r>
      <w:proofErr w:type="spellStart"/>
      <w:r w:rsidRPr="008C5DFA">
        <w:rPr>
          <w:rFonts w:ascii="Times New Roman" w:hAnsi="Times New Roman" w:cs="Times New Roman"/>
          <w:sz w:val="20"/>
          <w:lang w:val="en-US"/>
        </w:rPr>
        <w:t>Samore</w:t>
      </w:r>
      <w:proofErr w:type="spellEnd"/>
      <w:r w:rsidRPr="008C5DFA">
        <w:rPr>
          <w:rFonts w:ascii="Times New Roman" w:hAnsi="Times New Roman" w:cs="Times New Roman"/>
          <w:sz w:val="20"/>
          <w:lang w:val="en-US"/>
        </w:rPr>
        <w:t xml:space="preserve"> MH. Antecedent Treatment with Different Antibiotic Agents as a Risk Factor for Vancomycin-Resistant Enterococcus. </w:t>
      </w:r>
      <w:proofErr w:type="spellStart"/>
      <w:r w:rsidRPr="008C5DFA">
        <w:rPr>
          <w:rFonts w:ascii="Times New Roman" w:hAnsi="Times New Roman" w:cs="Times New Roman"/>
          <w:sz w:val="20"/>
          <w:lang w:val="en-US"/>
        </w:rPr>
        <w:t>Emerg</w:t>
      </w:r>
      <w:proofErr w:type="spellEnd"/>
      <w:r w:rsidRPr="008C5DFA">
        <w:rPr>
          <w:rFonts w:ascii="Times New Roman" w:hAnsi="Times New Roman" w:cs="Times New Roman"/>
          <w:sz w:val="20"/>
          <w:lang w:val="en-US"/>
        </w:rPr>
        <w:t xml:space="preserve"> Infect Dis. </w:t>
      </w:r>
      <w:r w:rsidRPr="008C5DFA">
        <w:rPr>
          <w:rFonts w:ascii="Times New Roman" w:hAnsi="Times New Roman" w:cs="Times New Roman"/>
          <w:b/>
          <w:bCs/>
          <w:sz w:val="20"/>
          <w:lang w:val="en-US"/>
        </w:rPr>
        <w:t>2002</w:t>
      </w:r>
      <w:proofErr w:type="gramStart"/>
      <w:r w:rsidRPr="008C5DFA">
        <w:rPr>
          <w:rFonts w:ascii="Times New Roman" w:hAnsi="Times New Roman" w:cs="Times New Roman"/>
          <w:sz w:val="20"/>
          <w:lang w:val="en-US"/>
        </w:rPr>
        <w:t>;</w:t>
      </w:r>
      <w:proofErr w:type="gramEnd"/>
      <w:r w:rsidRPr="008C5DFA">
        <w:rPr>
          <w:rFonts w:ascii="Times New Roman" w:hAnsi="Times New Roman" w:cs="Times New Roman"/>
          <w:sz w:val="20"/>
          <w:lang w:val="en-US"/>
        </w:rPr>
        <w:t xml:space="preserve"> 8(8):802–807.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12.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Graffunder</w:t>
      </w:r>
      <w:proofErr w:type="spellEnd"/>
      <w:r w:rsidRPr="008C5DFA">
        <w:rPr>
          <w:rFonts w:ascii="Times New Roman" w:hAnsi="Times New Roman" w:cs="Times New Roman"/>
          <w:sz w:val="20"/>
          <w:lang w:val="en-US"/>
        </w:rPr>
        <w:t xml:space="preserve"> EM, Preston KE, Evans AM, </w:t>
      </w:r>
      <w:proofErr w:type="spellStart"/>
      <w:r w:rsidRPr="008C5DFA">
        <w:rPr>
          <w:rFonts w:ascii="Times New Roman" w:hAnsi="Times New Roman" w:cs="Times New Roman"/>
          <w:sz w:val="20"/>
          <w:lang w:val="en-US"/>
        </w:rPr>
        <w:t>Venezia</w:t>
      </w:r>
      <w:proofErr w:type="spellEnd"/>
      <w:r w:rsidRPr="008C5DFA">
        <w:rPr>
          <w:rFonts w:ascii="Times New Roman" w:hAnsi="Times New Roman" w:cs="Times New Roman"/>
          <w:sz w:val="20"/>
          <w:lang w:val="en-US"/>
        </w:rPr>
        <w:t xml:space="preserve"> RA. Risk factors associated with extended-spectrum </w:t>
      </w:r>
      <w:r w:rsidRPr="008C5DFA">
        <w:rPr>
          <w:rFonts w:ascii="Times New Roman" w:hAnsi="Times New Roman" w:cs="Times New Roman"/>
          <w:sz w:val="20"/>
        </w:rPr>
        <w:t>β</w:t>
      </w:r>
      <w:r w:rsidRPr="008C5DFA">
        <w:rPr>
          <w:rFonts w:ascii="Times New Roman" w:hAnsi="Times New Roman" w:cs="Times New Roman"/>
          <w:sz w:val="20"/>
          <w:lang w:val="en-US"/>
        </w:rPr>
        <w:t xml:space="preserve">-lactamase-producing organisms at a tertiary care hospital. J </w:t>
      </w:r>
      <w:proofErr w:type="spellStart"/>
      <w:r w:rsidRPr="008C5DFA">
        <w:rPr>
          <w:rFonts w:ascii="Times New Roman" w:hAnsi="Times New Roman" w:cs="Times New Roman"/>
          <w:sz w:val="20"/>
          <w:lang w:val="en-US"/>
        </w:rPr>
        <w:t>Antimicrob</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Chemother</w:t>
      </w:r>
      <w:proofErr w:type="spellEnd"/>
      <w:r w:rsidRPr="008C5DFA">
        <w:rPr>
          <w:rFonts w:ascii="Times New Roman" w:hAnsi="Times New Roman" w:cs="Times New Roman"/>
          <w:sz w:val="20"/>
          <w:lang w:val="en-US"/>
        </w:rPr>
        <w:t xml:space="preserve">. </w:t>
      </w:r>
      <w:proofErr w:type="gramStart"/>
      <w:r w:rsidRPr="008C5DFA">
        <w:rPr>
          <w:rFonts w:ascii="Times New Roman" w:hAnsi="Times New Roman" w:cs="Times New Roman"/>
          <w:b/>
          <w:bCs/>
          <w:sz w:val="20"/>
          <w:lang w:val="en-US"/>
        </w:rPr>
        <w:t>2005</w:t>
      </w:r>
      <w:proofErr w:type="gramEnd"/>
      <w:r w:rsidRPr="008C5DFA">
        <w:rPr>
          <w:rFonts w:ascii="Times New Roman" w:hAnsi="Times New Roman" w:cs="Times New Roman"/>
          <w:sz w:val="20"/>
          <w:lang w:val="en-US"/>
        </w:rPr>
        <w:t xml:space="preserve">; 56(1):139–145.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13.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Donskey</w:t>
      </w:r>
      <w:proofErr w:type="spellEnd"/>
      <w:r w:rsidRPr="008C5DFA">
        <w:rPr>
          <w:rFonts w:ascii="Times New Roman" w:hAnsi="Times New Roman" w:cs="Times New Roman"/>
          <w:sz w:val="20"/>
          <w:lang w:val="en-US"/>
        </w:rPr>
        <w:t xml:space="preserve"> CJ, </w:t>
      </w:r>
      <w:proofErr w:type="spellStart"/>
      <w:r w:rsidRPr="008C5DFA">
        <w:rPr>
          <w:rFonts w:ascii="Times New Roman" w:hAnsi="Times New Roman" w:cs="Times New Roman"/>
          <w:sz w:val="20"/>
          <w:lang w:val="en-US"/>
        </w:rPr>
        <w:t>Chowdhry</w:t>
      </w:r>
      <w:proofErr w:type="spellEnd"/>
      <w:r w:rsidRPr="008C5DFA">
        <w:rPr>
          <w:rFonts w:ascii="Times New Roman" w:hAnsi="Times New Roman" w:cs="Times New Roman"/>
          <w:sz w:val="20"/>
          <w:lang w:val="en-US"/>
        </w:rPr>
        <w:t xml:space="preserve"> TK, Hecker MT, et al. Effect of Antibiotic Therapy on the Density of Vancomycin-Resistant Enterococci in the Stool of Colonized Patients. N </w:t>
      </w:r>
      <w:proofErr w:type="spellStart"/>
      <w:r w:rsidRPr="008C5DFA">
        <w:rPr>
          <w:rFonts w:ascii="Times New Roman" w:hAnsi="Times New Roman" w:cs="Times New Roman"/>
          <w:sz w:val="20"/>
          <w:lang w:val="en-US"/>
        </w:rPr>
        <w:t>Engl</w:t>
      </w:r>
      <w:proofErr w:type="spellEnd"/>
      <w:r w:rsidRPr="008C5DFA">
        <w:rPr>
          <w:rFonts w:ascii="Times New Roman" w:hAnsi="Times New Roman" w:cs="Times New Roman"/>
          <w:sz w:val="20"/>
          <w:lang w:val="en-US"/>
        </w:rPr>
        <w:t xml:space="preserve"> J Med. </w:t>
      </w:r>
      <w:r w:rsidRPr="008C5DFA">
        <w:rPr>
          <w:rFonts w:ascii="Times New Roman" w:hAnsi="Times New Roman" w:cs="Times New Roman"/>
          <w:b/>
          <w:bCs/>
          <w:sz w:val="20"/>
          <w:lang w:val="en-US"/>
        </w:rPr>
        <w:t>2000</w:t>
      </w:r>
      <w:proofErr w:type="gramStart"/>
      <w:r w:rsidRPr="008C5DFA">
        <w:rPr>
          <w:rFonts w:ascii="Times New Roman" w:hAnsi="Times New Roman" w:cs="Times New Roman"/>
          <w:sz w:val="20"/>
          <w:lang w:val="en-US"/>
        </w:rPr>
        <w:t>;</w:t>
      </w:r>
      <w:proofErr w:type="gramEnd"/>
      <w:r w:rsidRPr="008C5DFA">
        <w:rPr>
          <w:rFonts w:ascii="Times New Roman" w:hAnsi="Times New Roman" w:cs="Times New Roman"/>
          <w:sz w:val="20"/>
          <w:lang w:val="en-US"/>
        </w:rPr>
        <w:t xml:space="preserve"> 343(26):1925–1932.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lang w:val="en-US"/>
        </w:rPr>
        <w:t xml:space="preserve">14. </w:t>
      </w:r>
      <w:r w:rsidRPr="008C5DFA">
        <w:rPr>
          <w:rFonts w:ascii="Times New Roman" w:hAnsi="Times New Roman" w:cs="Times New Roman"/>
          <w:sz w:val="20"/>
          <w:lang w:val="en-US"/>
        </w:rPr>
        <w:tab/>
      </w:r>
      <w:proofErr w:type="spellStart"/>
      <w:r w:rsidRPr="008C5DFA">
        <w:rPr>
          <w:rFonts w:ascii="Times New Roman" w:hAnsi="Times New Roman" w:cs="Times New Roman"/>
          <w:sz w:val="20"/>
          <w:lang w:val="en-US"/>
        </w:rPr>
        <w:t>Haverkate</w:t>
      </w:r>
      <w:proofErr w:type="spellEnd"/>
      <w:r w:rsidRPr="008C5DFA">
        <w:rPr>
          <w:rFonts w:ascii="Times New Roman" w:hAnsi="Times New Roman" w:cs="Times New Roman"/>
          <w:sz w:val="20"/>
          <w:lang w:val="en-US"/>
        </w:rPr>
        <w:t xml:space="preserve"> MR, </w:t>
      </w:r>
      <w:proofErr w:type="spellStart"/>
      <w:r w:rsidRPr="008C5DFA">
        <w:rPr>
          <w:rFonts w:ascii="Times New Roman" w:hAnsi="Times New Roman" w:cs="Times New Roman"/>
          <w:sz w:val="20"/>
          <w:lang w:val="en-US"/>
        </w:rPr>
        <w:t>Platteel</w:t>
      </w:r>
      <w:proofErr w:type="spellEnd"/>
      <w:r w:rsidRPr="008C5DFA">
        <w:rPr>
          <w:rFonts w:ascii="Times New Roman" w:hAnsi="Times New Roman" w:cs="Times New Roman"/>
          <w:sz w:val="20"/>
          <w:lang w:val="en-US"/>
        </w:rPr>
        <w:t xml:space="preserve"> TN, </w:t>
      </w:r>
      <w:proofErr w:type="spellStart"/>
      <w:r w:rsidRPr="008C5DFA">
        <w:rPr>
          <w:rFonts w:ascii="Times New Roman" w:hAnsi="Times New Roman" w:cs="Times New Roman"/>
          <w:sz w:val="20"/>
          <w:lang w:val="en-US"/>
        </w:rPr>
        <w:t>Fluit</w:t>
      </w:r>
      <w:proofErr w:type="spellEnd"/>
      <w:r w:rsidRPr="008C5DFA">
        <w:rPr>
          <w:rFonts w:ascii="Times New Roman" w:hAnsi="Times New Roman" w:cs="Times New Roman"/>
          <w:sz w:val="20"/>
          <w:lang w:val="en-US"/>
        </w:rPr>
        <w:t xml:space="preserve"> AC, et al. Quantifying within-household transmission of extended-spectrum </w:t>
      </w:r>
      <w:r w:rsidRPr="008C5DFA">
        <w:rPr>
          <w:rFonts w:ascii="Times New Roman" w:hAnsi="Times New Roman" w:cs="Times New Roman"/>
          <w:sz w:val="20"/>
        </w:rPr>
        <w:t>β</w:t>
      </w:r>
      <w:r w:rsidRPr="008C5DFA">
        <w:rPr>
          <w:rFonts w:ascii="Times New Roman" w:hAnsi="Times New Roman" w:cs="Times New Roman"/>
          <w:sz w:val="20"/>
          <w:lang w:val="en-US"/>
        </w:rPr>
        <w:t xml:space="preserve">-lactamase-producing bacteria. </w:t>
      </w:r>
      <w:proofErr w:type="spellStart"/>
      <w:r w:rsidRPr="008C5DFA">
        <w:rPr>
          <w:rFonts w:ascii="Times New Roman" w:hAnsi="Times New Roman" w:cs="Times New Roman"/>
          <w:sz w:val="20"/>
          <w:lang w:val="en-US"/>
        </w:rPr>
        <w:t>Clin</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Microbiol</w:t>
      </w:r>
      <w:proofErr w:type="spellEnd"/>
      <w:r w:rsidRPr="008C5DFA">
        <w:rPr>
          <w:rFonts w:ascii="Times New Roman" w:hAnsi="Times New Roman" w:cs="Times New Roman"/>
          <w:sz w:val="20"/>
          <w:lang w:val="en-US"/>
        </w:rPr>
        <w:t xml:space="preserve"> Infect Off </w:t>
      </w:r>
      <w:proofErr w:type="spellStart"/>
      <w:r w:rsidRPr="008C5DFA">
        <w:rPr>
          <w:rFonts w:ascii="Times New Roman" w:hAnsi="Times New Roman" w:cs="Times New Roman"/>
          <w:sz w:val="20"/>
          <w:lang w:val="en-US"/>
        </w:rPr>
        <w:t>Publ</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Eur</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Soc</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Clin</w:t>
      </w:r>
      <w:proofErr w:type="spellEnd"/>
      <w:r w:rsidRPr="008C5DFA">
        <w:rPr>
          <w:rFonts w:ascii="Times New Roman" w:hAnsi="Times New Roman" w:cs="Times New Roman"/>
          <w:sz w:val="20"/>
          <w:lang w:val="en-US"/>
        </w:rPr>
        <w:t xml:space="preserve"> </w:t>
      </w:r>
      <w:proofErr w:type="spellStart"/>
      <w:r w:rsidRPr="008C5DFA">
        <w:rPr>
          <w:rFonts w:ascii="Times New Roman" w:hAnsi="Times New Roman" w:cs="Times New Roman"/>
          <w:sz w:val="20"/>
          <w:lang w:val="en-US"/>
        </w:rPr>
        <w:t>Microbiol</w:t>
      </w:r>
      <w:proofErr w:type="spellEnd"/>
      <w:r w:rsidRPr="008C5DFA">
        <w:rPr>
          <w:rFonts w:ascii="Times New Roman" w:hAnsi="Times New Roman" w:cs="Times New Roman"/>
          <w:sz w:val="20"/>
          <w:lang w:val="en-US"/>
        </w:rPr>
        <w:t xml:space="preserve"> Infect Dis. </w:t>
      </w:r>
      <w:r w:rsidRPr="008C5DFA">
        <w:rPr>
          <w:rFonts w:ascii="Times New Roman" w:hAnsi="Times New Roman" w:cs="Times New Roman"/>
          <w:b/>
          <w:bCs/>
          <w:sz w:val="20"/>
          <w:lang w:val="en-US"/>
        </w:rPr>
        <w:t>2017</w:t>
      </w:r>
      <w:proofErr w:type="gramStart"/>
      <w:r w:rsidRPr="008C5DFA">
        <w:rPr>
          <w:rFonts w:ascii="Times New Roman" w:hAnsi="Times New Roman" w:cs="Times New Roman"/>
          <w:sz w:val="20"/>
          <w:lang w:val="en-US"/>
        </w:rPr>
        <w:t>;</w:t>
      </w:r>
      <w:proofErr w:type="gramEnd"/>
      <w:r w:rsidRPr="008C5DFA">
        <w:rPr>
          <w:rFonts w:ascii="Times New Roman" w:hAnsi="Times New Roman" w:cs="Times New Roman"/>
          <w:sz w:val="20"/>
          <w:lang w:val="en-US"/>
        </w:rPr>
        <w:t xml:space="preserve"> 23(1):46.e1-46.e7. </w:t>
      </w:r>
    </w:p>
    <w:p w:rsidR="008C5DFA" w:rsidRPr="008C5DFA" w:rsidRDefault="008C5DFA" w:rsidP="008C5DFA">
      <w:pPr>
        <w:pStyle w:val="Bibliographie"/>
        <w:rPr>
          <w:rFonts w:ascii="Times New Roman" w:hAnsi="Times New Roman" w:cs="Times New Roman"/>
          <w:sz w:val="20"/>
        </w:rPr>
      </w:pPr>
      <w:r w:rsidRPr="008C5DFA">
        <w:rPr>
          <w:rFonts w:ascii="Times New Roman" w:hAnsi="Times New Roman" w:cs="Times New Roman"/>
          <w:sz w:val="20"/>
          <w:lang w:val="en-US"/>
        </w:rPr>
        <w:t xml:space="preserve">15. </w:t>
      </w:r>
      <w:r w:rsidRPr="008C5DFA">
        <w:rPr>
          <w:rFonts w:ascii="Times New Roman" w:hAnsi="Times New Roman" w:cs="Times New Roman"/>
          <w:sz w:val="20"/>
          <w:lang w:val="en-US"/>
        </w:rPr>
        <w:tab/>
        <w:t xml:space="preserve">Miura F, Watanabe T, Watanabe K, Takemoto K, </w:t>
      </w:r>
      <w:proofErr w:type="spellStart"/>
      <w:r w:rsidRPr="008C5DFA">
        <w:rPr>
          <w:rFonts w:ascii="Times New Roman" w:hAnsi="Times New Roman" w:cs="Times New Roman"/>
          <w:sz w:val="20"/>
          <w:lang w:val="en-US"/>
        </w:rPr>
        <w:t>Fukushi</w:t>
      </w:r>
      <w:proofErr w:type="spellEnd"/>
      <w:r w:rsidRPr="008C5DFA">
        <w:rPr>
          <w:rFonts w:ascii="Times New Roman" w:hAnsi="Times New Roman" w:cs="Times New Roman"/>
          <w:sz w:val="20"/>
          <w:lang w:val="en-US"/>
        </w:rPr>
        <w:t xml:space="preserve"> K. Comparative assessment of primary and secondary infection risks in a norovirus outbreak using a household model simulation. </w:t>
      </w:r>
      <w:r w:rsidRPr="008C5DFA">
        <w:rPr>
          <w:rFonts w:ascii="Times New Roman" w:hAnsi="Times New Roman" w:cs="Times New Roman"/>
          <w:sz w:val="20"/>
        </w:rPr>
        <w:t xml:space="preserve">J Environ </w:t>
      </w:r>
      <w:proofErr w:type="spellStart"/>
      <w:r w:rsidRPr="008C5DFA">
        <w:rPr>
          <w:rFonts w:ascii="Times New Roman" w:hAnsi="Times New Roman" w:cs="Times New Roman"/>
          <w:sz w:val="20"/>
        </w:rPr>
        <w:t>Sci</w:t>
      </w:r>
      <w:proofErr w:type="spellEnd"/>
      <w:r w:rsidRPr="008C5DFA">
        <w:rPr>
          <w:rFonts w:ascii="Times New Roman" w:hAnsi="Times New Roman" w:cs="Times New Roman"/>
          <w:sz w:val="20"/>
        </w:rPr>
        <w:t xml:space="preserve"> China. </w:t>
      </w:r>
      <w:r w:rsidRPr="008C5DFA">
        <w:rPr>
          <w:rFonts w:ascii="Times New Roman" w:hAnsi="Times New Roman" w:cs="Times New Roman"/>
          <w:b/>
          <w:bCs/>
          <w:sz w:val="20"/>
        </w:rPr>
        <w:t>2016</w:t>
      </w:r>
      <w:r w:rsidRPr="008C5DFA">
        <w:rPr>
          <w:rFonts w:ascii="Times New Roman" w:hAnsi="Times New Roman" w:cs="Times New Roman"/>
          <w:sz w:val="20"/>
        </w:rPr>
        <w:t xml:space="preserve">; 50:13–20. </w:t>
      </w:r>
    </w:p>
    <w:p w:rsidR="008C5DFA" w:rsidRPr="008C5DFA" w:rsidRDefault="008C5DFA" w:rsidP="008C5DFA">
      <w:pPr>
        <w:pStyle w:val="Bibliographie"/>
        <w:rPr>
          <w:rFonts w:ascii="Times New Roman" w:hAnsi="Times New Roman" w:cs="Times New Roman"/>
          <w:sz w:val="20"/>
          <w:lang w:val="en-US"/>
        </w:rPr>
      </w:pPr>
      <w:r w:rsidRPr="008C5DFA">
        <w:rPr>
          <w:rFonts w:ascii="Times New Roman" w:hAnsi="Times New Roman" w:cs="Times New Roman"/>
          <w:sz w:val="20"/>
        </w:rPr>
        <w:t xml:space="preserve">16. </w:t>
      </w:r>
      <w:r w:rsidRPr="008C5DFA">
        <w:rPr>
          <w:rFonts w:ascii="Times New Roman" w:hAnsi="Times New Roman" w:cs="Times New Roman"/>
          <w:sz w:val="20"/>
        </w:rPr>
        <w:tab/>
        <w:t xml:space="preserve">Marino S, </w:t>
      </w:r>
      <w:proofErr w:type="spellStart"/>
      <w:r w:rsidRPr="008C5DFA">
        <w:rPr>
          <w:rFonts w:ascii="Times New Roman" w:hAnsi="Times New Roman" w:cs="Times New Roman"/>
          <w:sz w:val="20"/>
        </w:rPr>
        <w:t>Hogue</w:t>
      </w:r>
      <w:proofErr w:type="spellEnd"/>
      <w:r w:rsidRPr="008C5DFA">
        <w:rPr>
          <w:rFonts w:ascii="Times New Roman" w:hAnsi="Times New Roman" w:cs="Times New Roman"/>
          <w:sz w:val="20"/>
        </w:rPr>
        <w:t xml:space="preserve"> IB, Ray CJ, </w:t>
      </w:r>
      <w:proofErr w:type="spellStart"/>
      <w:r w:rsidRPr="008C5DFA">
        <w:rPr>
          <w:rFonts w:ascii="Times New Roman" w:hAnsi="Times New Roman" w:cs="Times New Roman"/>
          <w:sz w:val="20"/>
        </w:rPr>
        <w:t>Kirschner</w:t>
      </w:r>
      <w:proofErr w:type="spellEnd"/>
      <w:r w:rsidRPr="008C5DFA">
        <w:rPr>
          <w:rFonts w:ascii="Times New Roman" w:hAnsi="Times New Roman" w:cs="Times New Roman"/>
          <w:sz w:val="20"/>
        </w:rPr>
        <w:t xml:space="preserve"> DE. </w:t>
      </w:r>
      <w:r w:rsidRPr="008C5DFA">
        <w:rPr>
          <w:rFonts w:ascii="Times New Roman" w:hAnsi="Times New Roman" w:cs="Times New Roman"/>
          <w:sz w:val="20"/>
          <w:lang w:val="en-US"/>
        </w:rPr>
        <w:t xml:space="preserve">A methodology for performing global uncertainty and sensitivity analysis in systems biology. J </w:t>
      </w:r>
      <w:proofErr w:type="spellStart"/>
      <w:r w:rsidRPr="008C5DFA">
        <w:rPr>
          <w:rFonts w:ascii="Times New Roman" w:hAnsi="Times New Roman" w:cs="Times New Roman"/>
          <w:sz w:val="20"/>
          <w:lang w:val="en-US"/>
        </w:rPr>
        <w:t>Theor</w:t>
      </w:r>
      <w:proofErr w:type="spellEnd"/>
      <w:r w:rsidRPr="008C5DFA">
        <w:rPr>
          <w:rFonts w:ascii="Times New Roman" w:hAnsi="Times New Roman" w:cs="Times New Roman"/>
          <w:sz w:val="20"/>
          <w:lang w:val="en-US"/>
        </w:rPr>
        <w:t xml:space="preserve"> Biol. </w:t>
      </w:r>
      <w:r w:rsidRPr="008C5DFA">
        <w:rPr>
          <w:rFonts w:ascii="Times New Roman" w:hAnsi="Times New Roman" w:cs="Times New Roman"/>
          <w:b/>
          <w:bCs/>
          <w:sz w:val="20"/>
          <w:lang w:val="en-US"/>
        </w:rPr>
        <w:t>2008</w:t>
      </w:r>
      <w:proofErr w:type="gramStart"/>
      <w:r w:rsidRPr="008C5DFA">
        <w:rPr>
          <w:rFonts w:ascii="Times New Roman" w:hAnsi="Times New Roman" w:cs="Times New Roman"/>
          <w:sz w:val="20"/>
          <w:lang w:val="en-US"/>
        </w:rPr>
        <w:t>;</w:t>
      </w:r>
      <w:proofErr w:type="gramEnd"/>
      <w:r w:rsidRPr="008C5DFA">
        <w:rPr>
          <w:rFonts w:ascii="Times New Roman" w:hAnsi="Times New Roman" w:cs="Times New Roman"/>
          <w:sz w:val="20"/>
          <w:lang w:val="en-US"/>
        </w:rPr>
        <w:t xml:space="preserve"> 254(1):178–196. </w:t>
      </w:r>
    </w:p>
    <w:p w:rsidR="008C5DFA" w:rsidRPr="008C5DFA" w:rsidRDefault="008C5DFA" w:rsidP="008C5DFA">
      <w:pPr>
        <w:pStyle w:val="Bibliographie"/>
        <w:rPr>
          <w:rFonts w:ascii="Times New Roman" w:hAnsi="Times New Roman" w:cs="Times New Roman"/>
          <w:sz w:val="20"/>
        </w:rPr>
      </w:pPr>
      <w:r w:rsidRPr="008C5DFA">
        <w:rPr>
          <w:rFonts w:ascii="Times New Roman" w:hAnsi="Times New Roman" w:cs="Times New Roman"/>
          <w:sz w:val="20"/>
          <w:lang w:val="en-US"/>
        </w:rPr>
        <w:t xml:space="preserve">17. </w:t>
      </w:r>
      <w:r w:rsidRPr="008C5DFA">
        <w:rPr>
          <w:rFonts w:ascii="Times New Roman" w:hAnsi="Times New Roman" w:cs="Times New Roman"/>
          <w:sz w:val="20"/>
          <w:lang w:val="en-US"/>
        </w:rPr>
        <w:tab/>
        <w:t xml:space="preserve">Blower SM, </w:t>
      </w:r>
      <w:proofErr w:type="spellStart"/>
      <w:r w:rsidRPr="008C5DFA">
        <w:rPr>
          <w:rFonts w:ascii="Times New Roman" w:hAnsi="Times New Roman" w:cs="Times New Roman"/>
          <w:sz w:val="20"/>
          <w:lang w:val="en-US"/>
        </w:rPr>
        <w:t>Dowlatabadi</w:t>
      </w:r>
      <w:proofErr w:type="spellEnd"/>
      <w:r w:rsidRPr="008C5DFA">
        <w:rPr>
          <w:rFonts w:ascii="Times New Roman" w:hAnsi="Times New Roman" w:cs="Times New Roman"/>
          <w:sz w:val="20"/>
          <w:lang w:val="en-US"/>
        </w:rPr>
        <w:t xml:space="preserve"> H. Sensitivity and Uncertainty Analysis of Complex Models of Disease Transmission: An HIV Model, as an Example. </w:t>
      </w:r>
      <w:r w:rsidRPr="008C5DFA">
        <w:rPr>
          <w:rFonts w:ascii="Times New Roman" w:hAnsi="Times New Roman" w:cs="Times New Roman"/>
          <w:sz w:val="20"/>
        </w:rPr>
        <w:t xml:space="preserve">Int Stat </w:t>
      </w:r>
      <w:proofErr w:type="spellStart"/>
      <w:r w:rsidRPr="008C5DFA">
        <w:rPr>
          <w:rFonts w:ascii="Times New Roman" w:hAnsi="Times New Roman" w:cs="Times New Roman"/>
          <w:sz w:val="20"/>
        </w:rPr>
        <w:t>Rev</w:t>
      </w:r>
      <w:proofErr w:type="spellEnd"/>
      <w:r w:rsidRPr="008C5DFA">
        <w:rPr>
          <w:rFonts w:ascii="Times New Roman" w:hAnsi="Times New Roman" w:cs="Times New Roman"/>
          <w:sz w:val="20"/>
        </w:rPr>
        <w:t xml:space="preserve"> </w:t>
      </w:r>
      <w:proofErr w:type="spellStart"/>
      <w:r w:rsidRPr="008C5DFA">
        <w:rPr>
          <w:rFonts w:ascii="Times New Roman" w:hAnsi="Times New Roman" w:cs="Times New Roman"/>
          <w:sz w:val="20"/>
        </w:rPr>
        <w:t>Rev</w:t>
      </w:r>
      <w:proofErr w:type="spellEnd"/>
      <w:r w:rsidRPr="008C5DFA">
        <w:rPr>
          <w:rFonts w:ascii="Times New Roman" w:hAnsi="Times New Roman" w:cs="Times New Roman"/>
          <w:sz w:val="20"/>
        </w:rPr>
        <w:t xml:space="preserve"> Int Stat. </w:t>
      </w:r>
      <w:r w:rsidRPr="008C5DFA">
        <w:rPr>
          <w:rFonts w:ascii="Times New Roman" w:hAnsi="Times New Roman" w:cs="Times New Roman"/>
          <w:b/>
          <w:bCs/>
          <w:sz w:val="20"/>
        </w:rPr>
        <w:t>1994</w:t>
      </w:r>
      <w:r w:rsidRPr="008C5DFA">
        <w:rPr>
          <w:rFonts w:ascii="Times New Roman" w:hAnsi="Times New Roman" w:cs="Times New Roman"/>
          <w:sz w:val="20"/>
        </w:rPr>
        <w:t xml:space="preserve">; 62(2):229–243. </w:t>
      </w:r>
    </w:p>
    <w:p w:rsidR="00954DAA" w:rsidRDefault="00FF0184" w:rsidP="00C3345A">
      <w:pPr>
        <w:jc w:val="both"/>
        <w:rPr>
          <w:rFonts w:ascii="Times New Roman" w:hAnsi="Times New Roman" w:cs="Times New Roman"/>
          <w:sz w:val="20"/>
          <w:szCs w:val="20"/>
          <w:lang w:val="en-US"/>
        </w:rPr>
      </w:pPr>
      <w:r w:rsidRPr="00AB546F">
        <w:rPr>
          <w:rFonts w:ascii="Times New Roman" w:hAnsi="Times New Roman" w:cs="Times New Roman"/>
          <w:sz w:val="20"/>
          <w:szCs w:val="20"/>
          <w:lang w:val="en-US"/>
        </w:rPr>
        <w:fldChar w:fldCharType="end"/>
      </w:r>
    </w:p>
    <w:p w:rsidR="00CA4FD3" w:rsidRDefault="00CA4FD3" w:rsidP="00C3345A">
      <w:pPr>
        <w:jc w:val="both"/>
        <w:rPr>
          <w:rFonts w:ascii="Times New Roman" w:hAnsi="Times New Roman" w:cs="Times New Roman"/>
          <w:sz w:val="20"/>
          <w:szCs w:val="20"/>
          <w:lang w:val="en-US"/>
        </w:rPr>
      </w:pPr>
    </w:p>
    <w:p w:rsidR="00C54618" w:rsidRDefault="00C54618" w:rsidP="00C3345A">
      <w:pPr>
        <w:jc w:val="both"/>
        <w:rPr>
          <w:rFonts w:ascii="Times New Roman" w:hAnsi="Times New Roman" w:cs="Times New Roman"/>
          <w:sz w:val="20"/>
          <w:szCs w:val="20"/>
          <w:lang w:val="en-US"/>
        </w:rPr>
      </w:pPr>
    </w:p>
    <w:p w:rsidR="00C54618" w:rsidRDefault="00C54618" w:rsidP="00B77C5D">
      <w:pPr>
        <w:jc w:val="both"/>
        <w:rPr>
          <w:rFonts w:ascii="Times New Roman" w:hAnsi="Times New Roman" w:cs="Times New Roman"/>
          <w:sz w:val="20"/>
          <w:szCs w:val="20"/>
          <w:lang w:val="en-US"/>
        </w:rPr>
      </w:pPr>
    </w:p>
    <w:p w:rsidR="00CA4FD3" w:rsidRPr="002F3EED" w:rsidRDefault="00CA4FD3" w:rsidP="00CA4FD3">
      <w:pPr>
        <w:jc w:val="center"/>
        <w:rPr>
          <w:rFonts w:ascii="Times New Roman" w:hAnsi="Times New Roman" w:cs="Times New Roman"/>
          <w:b/>
          <w:sz w:val="24"/>
          <w:szCs w:val="24"/>
          <w:lang w:val="en-GB"/>
        </w:rPr>
      </w:pPr>
      <w:r w:rsidRPr="002F3EED">
        <w:rPr>
          <w:rFonts w:ascii="Times New Roman" w:hAnsi="Times New Roman" w:cs="Times New Roman"/>
          <w:b/>
          <w:sz w:val="24"/>
          <w:szCs w:val="24"/>
          <w:lang w:val="en-GB"/>
        </w:rPr>
        <w:t>Supplementary Text S2</w:t>
      </w:r>
    </w:p>
    <w:p w:rsidR="00CA4FD3" w:rsidRPr="002F3EED" w:rsidRDefault="00CA4FD3" w:rsidP="00CA4FD3">
      <w:pPr>
        <w:rPr>
          <w:rFonts w:ascii="Times New Roman" w:hAnsi="Times New Roman" w:cs="Times New Roman"/>
          <w:b/>
          <w:sz w:val="24"/>
          <w:szCs w:val="24"/>
          <w:lang w:val="en-GB"/>
        </w:rPr>
      </w:pPr>
      <w:r w:rsidRPr="002F3EED">
        <w:rPr>
          <w:rFonts w:ascii="Times New Roman" w:hAnsi="Times New Roman" w:cs="Times New Roman"/>
          <w:b/>
          <w:sz w:val="24"/>
          <w:szCs w:val="24"/>
          <w:lang w:val="en-GB"/>
        </w:rPr>
        <w:t>Uncertainty analysis</w:t>
      </w:r>
    </w:p>
    <w:p w:rsidR="00CA4FD3" w:rsidRPr="002F3EED" w:rsidRDefault="00CA4FD3" w:rsidP="00CA4FD3">
      <w:pPr>
        <w:pStyle w:val="Paragraphedeliste"/>
        <w:numPr>
          <w:ilvl w:val="0"/>
          <w:numId w:val="1"/>
        </w:num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 xml:space="preserve">Impact of the lower duration of intestinal colonisation. </w:t>
      </w:r>
    </w:p>
    <w:p w:rsidR="00CA4FD3" w:rsidRPr="002F3EED" w:rsidRDefault="00CA4FD3" w:rsidP="00CA4FD3">
      <w:pPr>
        <w:spacing w:line="240" w:lineRule="auto"/>
        <w:jc w:val="both"/>
        <w:rPr>
          <w:rFonts w:ascii="Times New Roman" w:hAnsi="Times New Roman" w:cs="Times New Roman"/>
          <w:b/>
          <w:i/>
          <w:sz w:val="20"/>
          <w:szCs w:val="20"/>
          <w:lang w:val="en-GB"/>
        </w:rPr>
      </w:pPr>
      <w:r w:rsidRPr="002F3EED">
        <w:rPr>
          <w:rFonts w:ascii="Times New Roman" w:hAnsi="Times New Roman" w:cs="Times New Roman"/>
          <w:sz w:val="20"/>
          <w:szCs w:val="20"/>
          <w:lang w:val="en-GB"/>
        </w:rPr>
        <w:t xml:space="preserve">We run an uncertainty analysis with the duration of intestinal colonisation lower than in our main analysis; 36 days </w:t>
      </w:r>
      <w:r w:rsidRPr="002F3EED">
        <w:rPr>
          <w:rFonts w:ascii="Times New Roman" w:hAnsi="Times New Roman" w:cs="Times New Roman"/>
          <w:sz w:val="20"/>
          <w:szCs w:val="20"/>
          <w:lang w:val="en-US"/>
        </w:rPr>
        <w:t>(vs 111 at baseline).</w:t>
      </w:r>
    </w:p>
    <w:p w:rsidR="00CA4FD3" w:rsidRPr="002F3EED" w:rsidRDefault="00CA4FD3" w:rsidP="00CA4FD3">
      <w:p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Results</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The estimated probability of ESBL-EC acquisition in a 2-persons household was 1.8% and 2</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 xml:space="preserve">2% when the index person was a woman or a man, respectively (Supplementary Table S1). In the household composed of </w:t>
      </w:r>
      <w:proofErr w:type="gramStart"/>
      <w:r w:rsidRPr="002F3EED">
        <w:rPr>
          <w:rFonts w:ascii="Times New Roman" w:hAnsi="Times New Roman" w:cs="Times New Roman"/>
          <w:sz w:val="20"/>
          <w:szCs w:val="20"/>
          <w:lang w:val="en-GB"/>
        </w:rPr>
        <w:t>2</w:t>
      </w:r>
      <w:proofErr w:type="gramEnd"/>
      <w:r w:rsidRPr="002F3EED">
        <w:rPr>
          <w:rFonts w:ascii="Times New Roman" w:hAnsi="Times New Roman" w:cs="Times New Roman"/>
          <w:sz w:val="20"/>
          <w:szCs w:val="20"/>
          <w:lang w:val="en-GB"/>
        </w:rPr>
        <w:t xml:space="preserve"> adults and a child the probability of ESBL-EC acquisition varied from 7</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2 11.4%. In the household composed of two adults and a baby, the probability of acquisition ranged from 18</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1 to 22</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1%. In the household composed of four persons, the probability of ESBL-EC acquisition varied from 26</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1 to 31</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 xml:space="preserve">8%. </w:t>
      </w:r>
    </w:p>
    <w:tbl>
      <w:tblPr>
        <w:tblStyle w:val="Grilledutableau"/>
        <w:tblpPr w:leftFromText="141" w:rightFromText="141" w:vertAnchor="text" w:horzAnchor="margin" w:tblpY="715"/>
        <w:tblW w:w="8926" w:type="dxa"/>
        <w:tblLayout w:type="fixed"/>
        <w:tblLook w:val="04A0" w:firstRow="1" w:lastRow="0" w:firstColumn="1" w:lastColumn="0" w:noHBand="0" w:noVBand="1"/>
      </w:tblPr>
      <w:tblGrid>
        <w:gridCol w:w="1413"/>
        <w:gridCol w:w="2268"/>
        <w:gridCol w:w="1701"/>
        <w:gridCol w:w="1701"/>
        <w:gridCol w:w="1843"/>
      </w:tblGrid>
      <w:tr w:rsidR="00CA4FD3" w:rsidRPr="002C7656" w:rsidTr="00C3345A">
        <w:trPr>
          <w:trHeight w:val="517"/>
        </w:trPr>
        <w:tc>
          <w:tcPr>
            <w:tcW w:w="1413" w:type="dxa"/>
          </w:tcPr>
          <w:p w:rsidR="00CA4FD3" w:rsidRPr="00C54618" w:rsidRDefault="00CA4FD3" w:rsidP="00C54618">
            <w:pPr>
              <w:keepNext/>
              <w:jc w:val="center"/>
              <w:rPr>
                <w:rFonts w:ascii="Times New Roman" w:hAnsi="Times New Roman" w:cs="Times New Roman"/>
                <w:b/>
                <w:sz w:val="20"/>
                <w:szCs w:val="20"/>
                <w:lang w:val="en-US"/>
              </w:rPr>
            </w:pPr>
            <w:r w:rsidRPr="00C54618">
              <w:rPr>
                <w:rFonts w:ascii="Times New Roman" w:hAnsi="Times New Roman" w:cs="Times New Roman"/>
                <w:b/>
                <w:sz w:val="20"/>
                <w:szCs w:val="20"/>
                <w:lang w:val="en-US"/>
              </w:rPr>
              <w:t>Household composition*</w:t>
            </w:r>
          </w:p>
        </w:tc>
        <w:tc>
          <w:tcPr>
            <w:tcW w:w="7513" w:type="dxa"/>
            <w:gridSpan w:val="4"/>
          </w:tcPr>
          <w:p w:rsidR="00CA4FD3" w:rsidRPr="00C54618" w:rsidRDefault="00CA4FD3" w:rsidP="00C54618">
            <w:pPr>
              <w:keepNext/>
              <w:jc w:val="center"/>
              <w:rPr>
                <w:rFonts w:ascii="Times New Roman" w:hAnsi="Times New Roman" w:cs="Times New Roman"/>
                <w:b/>
                <w:sz w:val="20"/>
                <w:szCs w:val="20"/>
                <w:lang w:val="en-US"/>
              </w:rPr>
            </w:pPr>
            <w:r w:rsidRPr="00C54618">
              <w:rPr>
                <w:rFonts w:ascii="Times New Roman" w:hAnsi="Times New Roman" w:cs="Times New Roman"/>
                <w:b/>
                <w:sz w:val="20"/>
                <w:szCs w:val="20"/>
                <w:lang w:val="en-US"/>
              </w:rPr>
              <w:t>Probability of ESBL-EC acquisition according to the profile of the initial carrier (%) [95% CI]</w:t>
            </w:r>
          </w:p>
        </w:tc>
      </w:tr>
      <w:tr w:rsidR="00CA4FD3" w:rsidRPr="00C54618" w:rsidTr="00C3345A">
        <w:trPr>
          <w:trHeight w:val="269"/>
        </w:trPr>
        <w:tc>
          <w:tcPr>
            <w:tcW w:w="1413" w:type="dxa"/>
          </w:tcPr>
          <w:p w:rsidR="00CA4FD3" w:rsidRPr="00C54618" w:rsidRDefault="00CA4FD3" w:rsidP="00C54618">
            <w:pPr>
              <w:keepNext/>
              <w:jc w:val="center"/>
              <w:rPr>
                <w:rFonts w:ascii="Times New Roman" w:hAnsi="Times New Roman" w:cs="Times New Roman"/>
                <w:sz w:val="16"/>
                <w:szCs w:val="16"/>
                <w:lang w:val="en-US"/>
              </w:rPr>
            </w:pPr>
          </w:p>
        </w:tc>
        <w:tc>
          <w:tcPr>
            <w:tcW w:w="2268"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woman</w:t>
            </w:r>
          </w:p>
        </w:tc>
        <w:tc>
          <w:tcPr>
            <w:tcW w:w="1701"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man</w:t>
            </w:r>
          </w:p>
        </w:tc>
        <w:tc>
          <w:tcPr>
            <w:tcW w:w="1701"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child</w:t>
            </w:r>
          </w:p>
        </w:tc>
        <w:tc>
          <w:tcPr>
            <w:tcW w:w="1843"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baby</w:t>
            </w:r>
          </w:p>
        </w:tc>
      </w:tr>
      <w:tr w:rsidR="00CA4FD3" w:rsidRPr="00C54618" w:rsidTr="00C3345A">
        <w:trPr>
          <w:trHeight w:val="258"/>
        </w:trPr>
        <w:tc>
          <w:tcPr>
            <w:tcW w:w="1413"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b0c0</w:t>
            </w:r>
          </w:p>
        </w:tc>
        <w:tc>
          <w:tcPr>
            <w:tcW w:w="2268"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8 [1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9]</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2 [2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1-2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4]</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c>
          <w:tcPr>
            <w:tcW w:w="1843"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r>
      <w:tr w:rsidR="00CA4FD3" w:rsidRPr="00C54618" w:rsidTr="00C3345A">
        <w:trPr>
          <w:trHeight w:val="258"/>
        </w:trPr>
        <w:tc>
          <w:tcPr>
            <w:tcW w:w="1413"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b0c1</w:t>
            </w:r>
          </w:p>
        </w:tc>
        <w:tc>
          <w:tcPr>
            <w:tcW w:w="2268"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 [7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3-7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9]</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2 [6</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9-7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4 [11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0-11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8]</w:t>
            </w:r>
          </w:p>
        </w:tc>
        <w:tc>
          <w:tcPr>
            <w:tcW w:w="1843"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r>
      <w:tr w:rsidR="00CA4FD3" w:rsidRPr="00C54618" w:rsidTr="00C3345A">
        <w:trPr>
          <w:trHeight w:val="258"/>
        </w:trPr>
        <w:tc>
          <w:tcPr>
            <w:tcW w:w="1413"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b1c0</w:t>
            </w:r>
          </w:p>
        </w:tc>
        <w:tc>
          <w:tcPr>
            <w:tcW w:w="2268"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 [21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0-21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9]</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18</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1 [17</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6-18</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c>
          <w:tcPr>
            <w:tcW w:w="1843"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1[21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6-22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w:t>
            </w:r>
          </w:p>
        </w:tc>
      </w:tr>
      <w:tr w:rsidR="00CA4FD3" w:rsidRPr="00C54618" w:rsidTr="00C3345A">
        <w:trPr>
          <w:trHeight w:val="258"/>
        </w:trPr>
        <w:tc>
          <w:tcPr>
            <w:tcW w:w="1413" w:type="dxa"/>
          </w:tcPr>
          <w:p w:rsidR="00CA4FD3" w:rsidRPr="00C54618" w:rsidRDefault="00CA4FD3" w:rsidP="00C54618">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b1c1</w:t>
            </w:r>
          </w:p>
        </w:tc>
        <w:tc>
          <w:tcPr>
            <w:tcW w:w="2268"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29</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 [29</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1-30</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2]</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26</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1 [25</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6-26</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6]</w:t>
            </w:r>
          </w:p>
        </w:tc>
        <w:tc>
          <w:tcPr>
            <w:tcW w:w="1701"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0 [30</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5-31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5]</w:t>
            </w:r>
          </w:p>
        </w:tc>
        <w:tc>
          <w:tcPr>
            <w:tcW w:w="1843" w:type="dxa"/>
          </w:tcPr>
          <w:p w:rsidR="00CA4FD3" w:rsidRPr="00C54618" w:rsidRDefault="00CA4FD3" w:rsidP="00C54618">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8 [31</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2-32</w:t>
            </w:r>
            <w:r w:rsidR="002C7656">
              <w:rPr>
                <w:rFonts w:ascii="Times New Roman" w:hAnsi="Times New Roman" w:cs="Times New Roman"/>
                <w:sz w:val="16"/>
                <w:szCs w:val="16"/>
                <w:lang w:val="en-US"/>
              </w:rPr>
              <w:t>.</w:t>
            </w:r>
            <w:r w:rsidRPr="00C54618">
              <w:rPr>
                <w:rFonts w:ascii="Times New Roman" w:hAnsi="Times New Roman" w:cs="Times New Roman"/>
                <w:sz w:val="16"/>
                <w:szCs w:val="16"/>
                <w:lang w:val="en-US"/>
              </w:rPr>
              <w:t>3]</w:t>
            </w:r>
          </w:p>
        </w:tc>
      </w:tr>
    </w:tbl>
    <w:p w:rsidR="00CA4FD3" w:rsidRPr="002F3EED" w:rsidRDefault="00CA4FD3" w:rsidP="00CA4FD3">
      <w:pPr>
        <w:pStyle w:val="Lgende"/>
        <w:keepNext/>
        <w:jc w:val="both"/>
        <w:rPr>
          <w:sz w:val="20"/>
          <w:szCs w:val="20"/>
          <w:lang w:val="en-US"/>
        </w:rPr>
      </w:pPr>
      <w:r w:rsidRPr="002F3EED">
        <w:rPr>
          <w:rFonts w:ascii="Times New Roman" w:hAnsi="Times New Roman" w:cs="Times New Roman"/>
          <w:b/>
          <w:i w:val="0"/>
          <w:color w:val="000000" w:themeColor="text1"/>
          <w:sz w:val="20"/>
          <w:szCs w:val="20"/>
          <w:lang w:val="en-US"/>
        </w:rPr>
        <w:t>Supplementary Table S1</w:t>
      </w:r>
      <w:r w:rsidRPr="002F3EED">
        <w:rPr>
          <w:rFonts w:ascii="Times New Roman" w:hAnsi="Times New Roman" w:cs="Times New Roman"/>
          <w:color w:val="000000" w:themeColor="text1"/>
          <w:sz w:val="20"/>
          <w:szCs w:val="20"/>
          <w:lang w:val="en-US"/>
        </w:rPr>
        <w:t>.</w:t>
      </w:r>
      <w:r w:rsidRPr="002F3EED">
        <w:rPr>
          <w:rFonts w:ascii="Times New Roman" w:hAnsi="Times New Roman" w:cs="Times New Roman"/>
          <w:i w:val="0"/>
          <w:color w:val="000000" w:themeColor="text1"/>
          <w:sz w:val="20"/>
          <w:szCs w:val="20"/>
          <w:lang w:val="en-GB"/>
        </w:rPr>
        <w:t xml:space="preserve"> Results of univariate uncertainty analysis where the duration of intestinal colonisation was 36 days (vs 111 days).</w:t>
      </w:r>
    </w:p>
    <w:p w:rsidR="00CA4FD3" w:rsidRDefault="00CA4FD3" w:rsidP="008C5DFA">
      <w:pPr>
        <w:pStyle w:val="Lgende"/>
        <w:keepNext/>
        <w:spacing w:after="0"/>
        <w:rPr>
          <w:sz w:val="20"/>
          <w:szCs w:val="20"/>
          <w:lang w:val="en-US"/>
        </w:rPr>
      </w:pPr>
      <w:r w:rsidRPr="002F3EED">
        <w:rPr>
          <w:sz w:val="20"/>
          <w:szCs w:val="20"/>
          <w:lang w:val="en-US"/>
        </w:rPr>
        <w:t>*b0c0- 2 adults without children, b0c1- 2 adults+ child, b1c0- 2 adults + baby, b1c1- 2 adults+ child+ baby.</w:t>
      </w:r>
    </w:p>
    <w:p w:rsidR="008C5DFA" w:rsidRPr="008C5DFA" w:rsidRDefault="008C5DFA" w:rsidP="008C5DFA">
      <w:pPr>
        <w:rPr>
          <w:lang w:val="en-US"/>
        </w:rPr>
      </w:pPr>
    </w:p>
    <w:p w:rsidR="00CA4FD3" w:rsidRPr="002F3EED" w:rsidRDefault="00CA4FD3" w:rsidP="00CA4FD3">
      <w:pPr>
        <w:pStyle w:val="Paragraphedeliste"/>
        <w:numPr>
          <w:ilvl w:val="0"/>
          <w:numId w:val="1"/>
        </w:numPr>
        <w:rPr>
          <w:rFonts w:ascii="Times New Roman" w:hAnsi="Times New Roman" w:cs="Times New Roman"/>
          <w:sz w:val="20"/>
          <w:szCs w:val="20"/>
          <w:lang w:val="en-GB"/>
        </w:rPr>
      </w:pPr>
      <w:r w:rsidRPr="002F3EED">
        <w:rPr>
          <w:rFonts w:ascii="Times New Roman" w:hAnsi="Times New Roman" w:cs="Times New Roman"/>
          <w:b/>
          <w:i/>
          <w:sz w:val="20"/>
          <w:szCs w:val="20"/>
          <w:lang w:val="en-GB"/>
        </w:rPr>
        <w:t>Impact of the lower duration of hand contamination with ESBL-EC.</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US"/>
        </w:rPr>
        <w:t xml:space="preserve">We investigated a modified model, in which </w:t>
      </w:r>
      <w:r w:rsidRPr="002F3EED">
        <w:rPr>
          <w:rFonts w:ascii="Times New Roman" w:hAnsi="Times New Roman" w:cs="Times New Roman"/>
          <w:sz w:val="20"/>
          <w:szCs w:val="20"/>
          <w:lang w:val="en-GB"/>
        </w:rPr>
        <w:t xml:space="preserve">the duration of hand contamination with ESBL-EC less than </w:t>
      </w:r>
      <w:proofErr w:type="gramStart"/>
      <w:r w:rsidRPr="002F3EED">
        <w:rPr>
          <w:rFonts w:ascii="Times New Roman" w:hAnsi="Times New Roman" w:cs="Times New Roman"/>
          <w:sz w:val="20"/>
          <w:szCs w:val="20"/>
          <w:lang w:val="en-GB"/>
        </w:rPr>
        <w:t>one hour</w:t>
      </w:r>
      <w:proofErr w:type="gramEnd"/>
      <w:r w:rsidRPr="002F3EED">
        <w:rPr>
          <w:rFonts w:ascii="Times New Roman" w:hAnsi="Times New Roman" w:cs="Times New Roman"/>
          <w:sz w:val="20"/>
          <w:szCs w:val="20"/>
          <w:lang w:val="en-GB"/>
        </w:rPr>
        <w:t xml:space="preserve"> vs less than one day in the central analysis. </w:t>
      </w:r>
    </w:p>
    <w:p w:rsidR="00CA4FD3" w:rsidRPr="002F3EED" w:rsidRDefault="00CA4FD3" w:rsidP="00CA4FD3">
      <w:p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Results</w:t>
      </w:r>
    </w:p>
    <w:p w:rsidR="00CA4FD3"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Lower duration of hand contamination reduced the overall probability of ESBL-EC acquisition in a household. In a 2-persons household, it was 2</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8% and 3</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 xml:space="preserve">5% when the index person was a woman or a man, respectively (Supplementary Table S2). In the household composed of </w:t>
      </w:r>
      <w:proofErr w:type="gramStart"/>
      <w:r w:rsidRPr="002F3EED">
        <w:rPr>
          <w:rFonts w:ascii="Times New Roman" w:hAnsi="Times New Roman" w:cs="Times New Roman"/>
          <w:sz w:val="20"/>
          <w:szCs w:val="20"/>
          <w:lang w:val="en-GB"/>
        </w:rPr>
        <w:t>2</w:t>
      </w:r>
      <w:proofErr w:type="gramEnd"/>
      <w:r w:rsidRPr="002F3EED">
        <w:rPr>
          <w:rFonts w:ascii="Times New Roman" w:hAnsi="Times New Roman" w:cs="Times New Roman"/>
          <w:sz w:val="20"/>
          <w:szCs w:val="20"/>
          <w:lang w:val="en-GB"/>
        </w:rPr>
        <w:t xml:space="preserve"> adults and a child the probability of ESBL-EC acquisition varied from 10</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2 to 18</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0% and was the highest when the initial carrier was the child. In the household composed of two adults and a baby, the probability of acquisition ranged from 25</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2 to 40</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7% and was the highest when the initial carrier was the baby. In the household composed of four persons, the probability of ESBL-EC acquisition varied from 30</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0 to 48</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 xml:space="preserve">2% and was the highest when the index patient was the baby. </w:t>
      </w:r>
    </w:p>
    <w:p w:rsidR="008C5DFA" w:rsidRPr="002F3EED" w:rsidRDefault="008C5DFA" w:rsidP="008C5DFA">
      <w:pPr>
        <w:pStyle w:val="Lgende"/>
        <w:keepNext/>
        <w:jc w:val="both"/>
        <w:rPr>
          <w:sz w:val="20"/>
          <w:szCs w:val="20"/>
          <w:lang w:val="en-US"/>
        </w:rPr>
      </w:pPr>
      <w:r w:rsidRPr="002F3EED">
        <w:rPr>
          <w:rFonts w:ascii="Times New Roman" w:hAnsi="Times New Roman" w:cs="Times New Roman"/>
          <w:b/>
          <w:i w:val="0"/>
          <w:color w:val="000000" w:themeColor="text1"/>
          <w:sz w:val="20"/>
          <w:szCs w:val="20"/>
          <w:lang w:val="en-US"/>
        </w:rPr>
        <w:t>Supplementary Table S2.</w:t>
      </w:r>
      <w:r w:rsidRPr="002F3EED">
        <w:rPr>
          <w:rFonts w:ascii="Times New Roman" w:hAnsi="Times New Roman" w:cs="Times New Roman"/>
          <w:i w:val="0"/>
          <w:color w:val="000000" w:themeColor="text1"/>
          <w:sz w:val="20"/>
          <w:szCs w:val="20"/>
          <w:lang w:val="en-GB"/>
        </w:rPr>
        <w:t xml:space="preserve"> Results of univariate uncertainty analysis where the duration of hand contamination with ESBL-EC was less than one hour (vs. less than 1 day in the base case analysis). </w:t>
      </w:r>
    </w:p>
    <w:tbl>
      <w:tblPr>
        <w:tblStyle w:val="Grilledutableau"/>
        <w:tblpPr w:leftFromText="141" w:rightFromText="141" w:vertAnchor="text" w:horzAnchor="margin" w:tblpY="18"/>
        <w:tblW w:w="9067" w:type="dxa"/>
        <w:tblLayout w:type="fixed"/>
        <w:tblLook w:val="04A0" w:firstRow="1" w:lastRow="0" w:firstColumn="1" w:lastColumn="0" w:noHBand="0" w:noVBand="1"/>
      </w:tblPr>
      <w:tblGrid>
        <w:gridCol w:w="1413"/>
        <w:gridCol w:w="2410"/>
        <w:gridCol w:w="1701"/>
        <w:gridCol w:w="1701"/>
        <w:gridCol w:w="1842"/>
      </w:tblGrid>
      <w:tr w:rsidR="008C5DFA" w:rsidRPr="008C5DFA" w:rsidTr="008C5DFA">
        <w:trPr>
          <w:trHeight w:val="517"/>
        </w:trPr>
        <w:tc>
          <w:tcPr>
            <w:tcW w:w="1413" w:type="dxa"/>
          </w:tcPr>
          <w:p w:rsidR="008C5DFA" w:rsidRPr="00C54618" w:rsidRDefault="008C5DFA" w:rsidP="008C5DFA">
            <w:pPr>
              <w:keepNext/>
              <w:jc w:val="center"/>
              <w:rPr>
                <w:rFonts w:ascii="Times New Roman" w:hAnsi="Times New Roman" w:cs="Times New Roman"/>
                <w:b/>
                <w:sz w:val="20"/>
                <w:szCs w:val="20"/>
                <w:lang w:val="en-US"/>
              </w:rPr>
            </w:pPr>
            <w:r w:rsidRPr="00C54618">
              <w:rPr>
                <w:rFonts w:ascii="Times New Roman" w:hAnsi="Times New Roman" w:cs="Times New Roman"/>
                <w:b/>
                <w:sz w:val="20"/>
                <w:szCs w:val="20"/>
                <w:lang w:val="en-US"/>
              </w:rPr>
              <w:t>Household composition*</w:t>
            </w:r>
          </w:p>
        </w:tc>
        <w:tc>
          <w:tcPr>
            <w:tcW w:w="7654" w:type="dxa"/>
            <w:gridSpan w:val="4"/>
          </w:tcPr>
          <w:p w:rsidR="008C5DFA" w:rsidRPr="00C54618" w:rsidRDefault="008C5DFA" w:rsidP="008C5DFA">
            <w:pPr>
              <w:keepNext/>
              <w:jc w:val="center"/>
              <w:rPr>
                <w:rFonts w:ascii="Times New Roman" w:hAnsi="Times New Roman" w:cs="Times New Roman"/>
                <w:b/>
                <w:sz w:val="20"/>
                <w:szCs w:val="20"/>
                <w:lang w:val="en-US"/>
              </w:rPr>
            </w:pPr>
            <w:r w:rsidRPr="00C54618">
              <w:rPr>
                <w:rFonts w:ascii="Times New Roman" w:hAnsi="Times New Roman" w:cs="Times New Roman"/>
                <w:b/>
                <w:sz w:val="20"/>
                <w:szCs w:val="20"/>
                <w:lang w:val="en-US"/>
              </w:rPr>
              <w:t>Probability of ESBL-EC acquisition according to the profile of the initial carrier (%)</w:t>
            </w:r>
            <w:r>
              <w:rPr>
                <w:rFonts w:ascii="Times New Roman" w:hAnsi="Times New Roman" w:cs="Times New Roman"/>
                <w:b/>
                <w:sz w:val="20"/>
                <w:szCs w:val="20"/>
                <w:lang w:val="en-US"/>
              </w:rPr>
              <w:t xml:space="preserve"> </w:t>
            </w:r>
            <w:r w:rsidRPr="00C54618">
              <w:rPr>
                <w:rFonts w:ascii="Times New Roman" w:hAnsi="Times New Roman" w:cs="Times New Roman"/>
                <w:b/>
                <w:sz w:val="20"/>
                <w:szCs w:val="20"/>
                <w:lang w:val="en-US"/>
              </w:rPr>
              <w:t>[95% CI]</w:t>
            </w:r>
          </w:p>
        </w:tc>
      </w:tr>
      <w:tr w:rsidR="008C5DFA" w:rsidRPr="00C54618" w:rsidTr="008C5DFA">
        <w:trPr>
          <w:trHeight w:val="269"/>
        </w:trPr>
        <w:tc>
          <w:tcPr>
            <w:tcW w:w="1413" w:type="dxa"/>
          </w:tcPr>
          <w:p w:rsidR="008C5DFA" w:rsidRPr="00C54618" w:rsidRDefault="008C5DFA" w:rsidP="008C5DFA">
            <w:pPr>
              <w:keepNext/>
              <w:jc w:val="center"/>
              <w:rPr>
                <w:rFonts w:ascii="Times New Roman" w:hAnsi="Times New Roman" w:cs="Times New Roman"/>
                <w:b/>
                <w:sz w:val="16"/>
                <w:szCs w:val="16"/>
                <w:lang w:val="en-US"/>
              </w:rPr>
            </w:pPr>
          </w:p>
        </w:tc>
        <w:tc>
          <w:tcPr>
            <w:tcW w:w="2410"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woman</w:t>
            </w:r>
          </w:p>
        </w:tc>
        <w:tc>
          <w:tcPr>
            <w:tcW w:w="1701"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man</w:t>
            </w:r>
          </w:p>
        </w:tc>
        <w:tc>
          <w:tcPr>
            <w:tcW w:w="1701"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child</w:t>
            </w:r>
          </w:p>
        </w:tc>
        <w:tc>
          <w:tcPr>
            <w:tcW w:w="1842"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baby</w:t>
            </w:r>
          </w:p>
        </w:tc>
      </w:tr>
      <w:tr w:rsidR="008C5DFA" w:rsidRPr="00C54618" w:rsidTr="008C5DFA">
        <w:trPr>
          <w:trHeight w:val="258"/>
        </w:trPr>
        <w:tc>
          <w:tcPr>
            <w:tcW w:w="1413"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b0c0</w:t>
            </w:r>
          </w:p>
        </w:tc>
        <w:tc>
          <w:tcPr>
            <w:tcW w:w="2410"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2.8 [2.6-3.0]</w:t>
            </w:r>
          </w:p>
        </w:tc>
        <w:tc>
          <w:tcPr>
            <w:tcW w:w="1701"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3.5 [3.3-3.7]</w:t>
            </w:r>
          </w:p>
        </w:tc>
        <w:tc>
          <w:tcPr>
            <w:tcW w:w="1701"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c>
          <w:tcPr>
            <w:tcW w:w="1842"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r>
      <w:tr w:rsidR="008C5DFA" w:rsidRPr="00C54618" w:rsidTr="008C5DFA">
        <w:trPr>
          <w:trHeight w:val="258"/>
        </w:trPr>
        <w:tc>
          <w:tcPr>
            <w:tcW w:w="1413" w:type="dxa"/>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b0c1</w:t>
            </w:r>
          </w:p>
        </w:tc>
        <w:tc>
          <w:tcPr>
            <w:tcW w:w="2410"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10.8 [10.4-11.1]</w:t>
            </w:r>
          </w:p>
        </w:tc>
        <w:tc>
          <w:tcPr>
            <w:tcW w:w="1701"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10.2 [9.8-10.5]</w:t>
            </w:r>
          </w:p>
        </w:tc>
        <w:tc>
          <w:tcPr>
            <w:tcW w:w="1701"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18.0 [17.5-18.4]</w:t>
            </w:r>
          </w:p>
        </w:tc>
        <w:tc>
          <w:tcPr>
            <w:tcW w:w="1842" w:type="dxa"/>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r>
      <w:tr w:rsidR="008C5DFA" w:rsidRPr="00C54618" w:rsidTr="008C5DFA">
        <w:trPr>
          <w:trHeight w:val="258"/>
        </w:trPr>
        <w:tc>
          <w:tcPr>
            <w:tcW w:w="1413" w:type="dxa"/>
            <w:shd w:val="clear" w:color="auto" w:fill="auto"/>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b1c0</w:t>
            </w:r>
          </w:p>
        </w:tc>
        <w:tc>
          <w:tcPr>
            <w:tcW w:w="2410"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34.5 [33.9-35.0]</w:t>
            </w:r>
          </w:p>
        </w:tc>
        <w:tc>
          <w:tcPr>
            <w:tcW w:w="1701"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25.2 [24.7-25.7]</w:t>
            </w:r>
          </w:p>
        </w:tc>
        <w:tc>
          <w:tcPr>
            <w:tcW w:w="1701"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w:t>
            </w:r>
          </w:p>
        </w:tc>
        <w:tc>
          <w:tcPr>
            <w:tcW w:w="1842"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40.7 [40.1-41.2]</w:t>
            </w:r>
          </w:p>
        </w:tc>
      </w:tr>
      <w:tr w:rsidR="008C5DFA" w:rsidRPr="00C54618" w:rsidTr="008C5DFA">
        <w:trPr>
          <w:trHeight w:val="258"/>
        </w:trPr>
        <w:tc>
          <w:tcPr>
            <w:tcW w:w="1413" w:type="dxa"/>
            <w:shd w:val="clear" w:color="auto" w:fill="auto"/>
          </w:tcPr>
          <w:p w:rsidR="008C5DFA" w:rsidRPr="00C54618" w:rsidRDefault="008C5DFA" w:rsidP="008C5DFA">
            <w:pPr>
              <w:keepNext/>
              <w:jc w:val="center"/>
              <w:rPr>
                <w:rFonts w:ascii="Times New Roman" w:hAnsi="Times New Roman" w:cs="Times New Roman"/>
                <w:b/>
                <w:sz w:val="16"/>
                <w:szCs w:val="16"/>
                <w:lang w:val="en-US"/>
              </w:rPr>
            </w:pPr>
            <w:r w:rsidRPr="00C54618">
              <w:rPr>
                <w:rFonts w:ascii="Times New Roman" w:hAnsi="Times New Roman" w:cs="Times New Roman"/>
                <w:b/>
                <w:sz w:val="16"/>
                <w:szCs w:val="16"/>
                <w:lang w:val="en-US"/>
              </w:rPr>
              <w:t>b1c1</w:t>
            </w:r>
          </w:p>
        </w:tc>
        <w:tc>
          <w:tcPr>
            <w:tcW w:w="2410"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40.4 [39.8-40.9]</w:t>
            </w:r>
          </w:p>
        </w:tc>
        <w:tc>
          <w:tcPr>
            <w:tcW w:w="1701"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30.0 [29.5-30.5]</w:t>
            </w:r>
          </w:p>
        </w:tc>
        <w:tc>
          <w:tcPr>
            <w:tcW w:w="1701"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37.0 [36.4-37.5]</w:t>
            </w:r>
          </w:p>
        </w:tc>
        <w:tc>
          <w:tcPr>
            <w:tcW w:w="1842" w:type="dxa"/>
            <w:shd w:val="clear" w:color="auto" w:fill="auto"/>
          </w:tcPr>
          <w:p w:rsidR="008C5DFA" w:rsidRPr="00C54618" w:rsidRDefault="008C5DFA" w:rsidP="008C5DFA">
            <w:pPr>
              <w:keepNext/>
              <w:jc w:val="center"/>
              <w:rPr>
                <w:rFonts w:ascii="Times New Roman" w:hAnsi="Times New Roman" w:cs="Times New Roman"/>
                <w:sz w:val="16"/>
                <w:szCs w:val="16"/>
                <w:lang w:val="en-US"/>
              </w:rPr>
            </w:pPr>
            <w:r w:rsidRPr="00C54618">
              <w:rPr>
                <w:rFonts w:ascii="Times New Roman" w:hAnsi="Times New Roman" w:cs="Times New Roman"/>
                <w:sz w:val="16"/>
                <w:szCs w:val="16"/>
                <w:lang w:val="en-US"/>
              </w:rPr>
              <w:t>48.2 [47.6-48.8]</w:t>
            </w:r>
          </w:p>
        </w:tc>
      </w:tr>
    </w:tbl>
    <w:p w:rsidR="00CA4FD3" w:rsidRPr="002F3EED" w:rsidRDefault="00CA4FD3" w:rsidP="00CA4FD3">
      <w:pPr>
        <w:pStyle w:val="Lgende"/>
        <w:keepNext/>
        <w:rPr>
          <w:sz w:val="20"/>
          <w:szCs w:val="20"/>
          <w:lang w:val="en-US"/>
        </w:rPr>
      </w:pPr>
      <w:r w:rsidRPr="002F3EED">
        <w:rPr>
          <w:sz w:val="20"/>
          <w:szCs w:val="20"/>
          <w:lang w:val="en-US"/>
        </w:rPr>
        <w:t>*b0c0- 2 adults without children, b0c1- 2 adults+ child, b1c0- 2 adults + baby, b1c1- 2 adults+ child+ baby.</w:t>
      </w:r>
    </w:p>
    <w:p w:rsidR="00CA4FD3" w:rsidRPr="002F3EED" w:rsidRDefault="00CA4FD3" w:rsidP="00CA4FD3">
      <w:pPr>
        <w:rPr>
          <w:rFonts w:ascii="Times New Roman" w:hAnsi="Times New Roman" w:cs="Times New Roman"/>
          <w:b/>
          <w:i/>
          <w:sz w:val="20"/>
          <w:szCs w:val="20"/>
          <w:lang w:val="en-US"/>
        </w:rPr>
      </w:pPr>
    </w:p>
    <w:p w:rsidR="00CA4FD3" w:rsidRPr="002F3EED" w:rsidRDefault="00CA4FD3" w:rsidP="00CA4FD3">
      <w:pPr>
        <w:pStyle w:val="Paragraphedeliste"/>
        <w:numPr>
          <w:ilvl w:val="0"/>
          <w:numId w:val="1"/>
        </w:numPr>
        <w:rPr>
          <w:rFonts w:ascii="Times New Roman" w:hAnsi="Times New Roman" w:cs="Times New Roman"/>
          <w:b/>
          <w:i/>
          <w:sz w:val="20"/>
          <w:szCs w:val="20"/>
          <w:lang w:val="en-GB"/>
        </w:rPr>
      </w:pPr>
      <w:bookmarkStart w:id="0" w:name="_GoBack"/>
      <w:bookmarkEnd w:id="0"/>
      <w:r w:rsidRPr="002F3EED">
        <w:rPr>
          <w:rFonts w:ascii="Times New Roman" w:hAnsi="Times New Roman" w:cs="Times New Roman"/>
          <w:b/>
          <w:i/>
          <w:sz w:val="20"/>
          <w:szCs w:val="20"/>
          <w:lang w:val="en-GB"/>
        </w:rPr>
        <w:lastRenderedPageBreak/>
        <w:t xml:space="preserve">Impact of the higher probability of background colonisation and impact of improvement in HH. </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We also investigated the model in which the daily probability of background colonisation (</w:t>
      </w:r>
      <w:proofErr w:type="spellStart"/>
      <w:r w:rsidRPr="002F3EED">
        <w:rPr>
          <w:i/>
          <w:sz w:val="20"/>
          <w:szCs w:val="20"/>
          <w:lang w:val="en-GB"/>
        </w:rPr>
        <w:t>p</w:t>
      </w:r>
      <w:r w:rsidRPr="002F3EED">
        <w:rPr>
          <w:i/>
          <w:sz w:val="20"/>
          <w:szCs w:val="20"/>
          <w:vertAlign w:val="subscript"/>
          <w:lang w:val="en-GB"/>
        </w:rPr>
        <w:t>col</w:t>
      </w:r>
      <w:proofErr w:type="gramStart"/>
      <w:r w:rsidRPr="002F3EED">
        <w:rPr>
          <w:i/>
          <w:sz w:val="20"/>
          <w:szCs w:val="20"/>
          <w:vertAlign w:val="subscript"/>
          <w:lang w:val="en-GB"/>
        </w:rPr>
        <w:t>,env</w:t>
      </w:r>
      <w:proofErr w:type="spellEnd"/>
      <w:proofErr w:type="gramEnd"/>
      <w:r w:rsidRPr="002F3EED">
        <w:rPr>
          <w:rFonts w:ascii="Times New Roman" w:hAnsi="Times New Roman" w:cs="Times New Roman"/>
          <w:sz w:val="20"/>
          <w:szCs w:val="20"/>
          <w:lang w:val="en-GB"/>
        </w:rPr>
        <w:t xml:space="preserve">) was higher than in our main analysis. </w:t>
      </w:r>
    </w:p>
    <w:p w:rsidR="00CA4FD3" w:rsidRPr="002F3EED" w:rsidRDefault="00CA4FD3" w:rsidP="00CA4FD3">
      <w:p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Results</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 xml:space="preserve">Higher probability of background colonisation had a little impact on the probability of ESBL-PE acquisition (Supplementary Figure S1A). Moreover, with very high values of background colonisation, the acquisition originated from household members decreased, the persistence time of ESBL-EC colonisation increased, and the impact of improved HH by 50% was very limited. These results indicated that the environment became the most important source of household colonisation and HH improvement will not be sufficient to limit the spread of ESBL-EC (Supplementary Figure S1B). </w:t>
      </w:r>
    </w:p>
    <w:p w:rsidR="00CA4FD3" w:rsidRPr="002F3EED" w:rsidRDefault="00CA4FD3" w:rsidP="00CA4FD3">
      <w:pPr>
        <w:spacing w:line="240" w:lineRule="auto"/>
        <w:jc w:val="both"/>
        <w:rPr>
          <w:noProof/>
          <w:sz w:val="20"/>
          <w:szCs w:val="20"/>
          <w:lang w:val="en-US" w:eastAsia="fr-FR"/>
        </w:rPr>
      </w:pPr>
      <w:r w:rsidRPr="002F3EED">
        <w:rPr>
          <w:rFonts w:ascii="Times New Roman" w:hAnsi="Times New Roman" w:cs="Times New Roman"/>
          <w:b/>
          <w:color w:val="000000" w:themeColor="text1"/>
          <w:sz w:val="20"/>
          <w:szCs w:val="20"/>
          <w:lang w:val="en-US"/>
        </w:rPr>
        <w:t>Supplementary Figure S1A</w:t>
      </w:r>
      <w:r w:rsidRPr="002F3EED">
        <w:rPr>
          <w:rFonts w:ascii="Times New Roman" w:hAnsi="Times New Roman" w:cs="Times New Roman"/>
          <w:color w:val="000000" w:themeColor="text1"/>
          <w:sz w:val="20"/>
          <w:szCs w:val="20"/>
          <w:lang w:val="en-US"/>
        </w:rPr>
        <w:t>.</w:t>
      </w:r>
      <w:r w:rsidRPr="002F3EED">
        <w:rPr>
          <w:rFonts w:ascii="Times New Roman" w:hAnsi="Times New Roman" w:cs="Times New Roman"/>
          <w:color w:val="000000" w:themeColor="text1"/>
          <w:sz w:val="20"/>
          <w:szCs w:val="20"/>
          <w:lang w:val="en-GB"/>
        </w:rPr>
        <w:t xml:space="preserve"> Probability of ESBL-EC acquisition in the model where the daily probability of background colonisation was higher than 0.00015 (base case). Results presented for the 4-persons household, where the initial carrier was the woman.</w:t>
      </w:r>
      <w:r w:rsidRPr="002F3EED">
        <w:rPr>
          <w:noProof/>
          <w:sz w:val="20"/>
          <w:szCs w:val="20"/>
          <w:lang w:val="en-US" w:eastAsia="fr-FR"/>
        </w:rPr>
        <w:t xml:space="preserve"> </w:t>
      </w:r>
    </w:p>
    <w:p w:rsidR="00CA4FD3" w:rsidRPr="002F3EED" w:rsidRDefault="00CA4FD3" w:rsidP="00CA4FD3">
      <w:pPr>
        <w:jc w:val="center"/>
        <w:rPr>
          <w:rFonts w:ascii="Times New Roman" w:hAnsi="Times New Roman" w:cs="Times New Roman"/>
          <w:color w:val="000000" w:themeColor="text1"/>
          <w:sz w:val="20"/>
          <w:szCs w:val="20"/>
          <w:lang w:val="en-GB"/>
        </w:rPr>
      </w:pPr>
      <w:r w:rsidRPr="002F3EED">
        <w:rPr>
          <w:noProof/>
          <w:sz w:val="20"/>
          <w:szCs w:val="20"/>
          <w:lang w:eastAsia="fr-FR"/>
        </w:rPr>
        <w:drawing>
          <wp:inline distT="0" distB="0" distL="0" distR="0" wp14:anchorId="1476F76F" wp14:editId="32FF14EC">
            <wp:extent cx="4800600" cy="267652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4FD3" w:rsidRPr="002F3EED" w:rsidRDefault="00CA4FD3" w:rsidP="00CA4FD3">
      <w:pPr>
        <w:pStyle w:val="Lgende"/>
        <w:keepNext/>
        <w:jc w:val="both"/>
        <w:rPr>
          <w:rFonts w:ascii="Times New Roman" w:hAnsi="Times New Roman" w:cs="Times New Roman"/>
          <w:i w:val="0"/>
          <w:color w:val="000000" w:themeColor="text1"/>
          <w:sz w:val="20"/>
          <w:szCs w:val="20"/>
          <w:lang w:val="en-GB"/>
        </w:rPr>
      </w:pPr>
      <w:r w:rsidRPr="002F3EED">
        <w:rPr>
          <w:rFonts w:ascii="Times New Roman" w:hAnsi="Times New Roman" w:cs="Times New Roman"/>
          <w:b/>
          <w:i w:val="0"/>
          <w:color w:val="000000" w:themeColor="text1"/>
          <w:sz w:val="20"/>
          <w:szCs w:val="20"/>
          <w:lang w:val="en-US"/>
        </w:rPr>
        <w:t>Supplementary Figure S1B</w:t>
      </w:r>
      <w:r w:rsidRPr="002F3EED">
        <w:rPr>
          <w:rFonts w:ascii="Times New Roman" w:hAnsi="Times New Roman" w:cs="Times New Roman"/>
          <w:color w:val="000000" w:themeColor="text1"/>
          <w:sz w:val="20"/>
          <w:szCs w:val="20"/>
          <w:lang w:val="en-US"/>
        </w:rPr>
        <w:t>.</w:t>
      </w:r>
      <w:r w:rsidRPr="002F3EED">
        <w:rPr>
          <w:rFonts w:ascii="Times New Roman" w:hAnsi="Times New Roman" w:cs="Times New Roman"/>
          <w:i w:val="0"/>
          <w:color w:val="000000" w:themeColor="text1"/>
          <w:sz w:val="20"/>
          <w:szCs w:val="20"/>
          <w:lang w:val="en-GB"/>
        </w:rPr>
        <w:t xml:space="preserve"> Persistence time of ESBL-EC acquisition in the model where the daily probability of background colonisation was higher than 0.00015 (base case) and the impact of improving HH by 50%. Results presented for the 4-persons household, where the initial carrier was the woman.</w:t>
      </w:r>
    </w:p>
    <w:p w:rsidR="00CA4FD3" w:rsidRPr="002F3EED" w:rsidRDefault="00CA4FD3" w:rsidP="00CA4FD3">
      <w:pPr>
        <w:pStyle w:val="Lgende"/>
        <w:keepNext/>
        <w:jc w:val="center"/>
        <w:rPr>
          <w:rFonts w:ascii="Times New Roman" w:hAnsi="Times New Roman" w:cs="Times New Roman"/>
          <w:i w:val="0"/>
          <w:color w:val="000000" w:themeColor="text1"/>
          <w:sz w:val="20"/>
          <w:szCs w:val="20"/>
          <w:lang w:val="en-GB"/>
        </w:rPr>
      </w:pPr>
      <w:r w:rsidRPr="002F3EED">
        <w:rPr>
          <w:noProof/>
          <w:sz w:val="20"/>
          <w:szCs w:val="20"/>
          <w:lang w:eastAsia="fr-FR"/>
        </w:rPr>
        <w:drawing>
          <wp:inline distT="0" distB="0" distL="0" distR="0" wp14:anchorId="7ED27307" wp14:editId="6A93D6D1">
            <wp:extent cx="5410201"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4FD3" w:rsidRPr="002F3EED" w:rsidRDefault="00CA4FD3" w:rsidP="00CA4FD3">
      <w:pPr>
        <w:rPr>
          <w:rFonts w:ascii="Times New Roman" w:hAnsi="Times New Roman" w:cs="Times New Roman"/>
          <w:b/>
          <w:i/>
          <w:sz w:val="20"/>
          <w:szCs w:val="20"/>
          <w:lang w:val="en-US"/>
        </w:rPr>
      </w:pPr>
    </w:p>
    <w:p w:rsidR="00CA4FD3" w:rsidRPr="002F3EED" w:rsidRDefault="00CA4FD3" w:rsidP="00CA4FD3">
      <w:pPr>
        <w:pStyle w:val="Paragraphedeliste"/>
        <w:numPr>
          <w:ilvl w:val="0"/>
          <w:numId w:val="1"/>
        </w:num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lastRenderedPageBreak/>
        <w:t xml:space="preserve">Impact of the increased number of daily contacts between man and woman in a household. </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We investigated the model with the daily frequency of contacts between man and woman higher than the reported 1</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2 contacts/day to take into account that contacts between man and woman may be less frequent than reported but may last longer (e.g., by sleeping in the same bed).</w:t>
      </w:r>
    </w:p>
    <w:p w:rsidR="00CA4FD3" w:rsidRPr="002F3EED" w:rsidRDefault="00CA4FD3" w:rsidP="00CA4FD3">
      <w:p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Results</w:t>
      </w:r>
    </w:p>
    <w:p w:rsidR="00CA4FD3" w:rsidRPr="002F3EED" w:rsidRDefault="00CA4FD3" w:rsidP="00CA4FD3">
      <w:pPr>
        <w:spacing w:line="240" w:lineRule="auto"/>
        <w:jc w:val="both"/>
        <w:rPr>
          <w:rFonts w:ascii="Times New Roman" w:hAnsi="Times New Roman" w:cs="Times New Roman"/>
          <w:sz w:val="20"/>
          <w:szCs w:val="20"/>
          <w:lang w:val="en-GB"/>
        </w:rPr>
      </w:pPr>
      <w:r w:rsidRPr="002F3EED">
        <w:rPr>
          <w:rFonts w:ascii="Times New Roman" w:hAnsi="Times New Roman" w:cs="Times New Roman"/>
          <w:sz w:val="20"/>
          <w:szCs w:val="20"/>
          <w:lang w:val="en-GB"/>
        </w:rPr>
        <w:t>When the number of daily contacts between man and woman was increased to 5</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9 per day (vs. 1</w:t>
      </w:r>
      <w:r w:rsidR="002C7656">
        <w:rPr>
          <w:rFonts w:ascii="Times New Roman" w:hAnsi="Times New Roman" w:cs="Times New Roman"/>
          <w:sz w:val="20"/>
          <w:szCs w:val="20"/>
          <w:lang w:val="en-GB"/>
        </w:rPr>
        <w:t>.</w:t>
      </w:r>
      <w:r w:rsidRPr="002F3EED">
        <w:rPr>
          <w:rFonts w:ascii="Times New Roman" w:hAnsi="Times New Roman" w:cs="Times New Roman"/>
          <w:sz w:val="20"/>
          <w:szCs w:val="20"/>
          <w:lang w:val="en-GB"/>
        </w:rPr>
        <w:t xml:space="preserve">2 in the base case analysis), the probability of ESBL-PE acquisition increased for all household compositions, with the highest, more than twice higher, in a household composed of 2 persons (Supplementary Table S4). </w:t>
      </w:r>
    </w:p>
    <w:p w:rsidR="00CA4FD3" w:rsidRPr="002F3EED" w:rsidRDefault="00CA4FD3" w:rsidP="00CA4FD3">
      <w:pPr>
        <w:pStyle w:val="Lgende"/>
        <w:keepNext/>
        <w:spacing w:after="0"/>
        <w:contextualSpacing/>
        <w:mirrorIndents/>
        <w:rPr>
          <w:rFonts w:ascii="Times New Roman" w:hAnsi="Times New Roman" w:cs="Times New Roman"/>
          <w:i w:val="0"/>
          <w:color w:val="auto"/>
          <w:sz w:val="20"/>
          <w:szCs w:val="20"/>
          <w:lang w:val="en-GB"/>
        </w:rPr>
      </w:pPr>
    </w:p>
    <w:p w:rsidR="00CA4FD3" w:rsidRPr="002F3EED" w:rsidRDefault="00CA4FD3" w:rsidP="00CA4FD3">
      <w:pPr>
        <w:pStyle w:val="Lgende"/>
        <w:keepNext/>
        <w:jc w:val="both"/>
        <w:rPr>
          <w:rFonts w:ascii="Times New Roman" w:hAnsi="Times New Roman" w:cs="Times New Roman"/>
          <w:color w:val="000000" w:themeColor="text1"/>
          <w:sz w:val="20"/>
          <w:szCs w:val="20"/>
          <w:lang w:val="en-US"/>
        </w:rPr>
      </w:pPr>
      <w:r w:rsidRPr="002F3EED">
        <w:rPr>
          <w:rFonts w:ascii="Times New Roman" w:hAnsi="Times New Roman" w:cs="Times New Roman"/>
          <w:b/>
          <w:color w:val="000000" w:themeColor="text1"/>
          <w:sz w:val="20"/>
          <w:szCs w:val="20"/>
          <w:lang w:val="en-US"/>
        </w:rPr>
        <w:t>Supplementary Table S4.</w:t>
      </w:r>
      <w:r w:rsidRPr="002F3EED">
        <w:rPr>
          <w:rFonts w:ascii="Times New Roman" w:hAnsi="Times New Roman" w:cs="Times New Roman"/>
          <w:color w:val="000000" w:themeColor="text1"/>
          <w:sz w:val="20"/>
          <w:szCs w:val="20"/>
          <w:lang w:val="en-US"/>
        </w:rPr>
        <w:t xml:space="preserve"> </w:t>
      </w:r>
      <w:r w:rsidRPr="002F3EED">
        <w:rPr>
          <w:rFonts w:ascii="Times New Roman" w:hAnsi="Times New Roman" w:cs="Times New Roman"/>
          <w:i w:val="0"/>
          <w:color w:val="000000" w:themeColor="text1"/>
          <w:sz w:val="20"/>
          <w:szCs w:val="20"/>
          <w:lang w:val="en-GB"/>
        </w:rPr>
        <w:t>Results of univariate uncertainty analysis where the daily frequency of contacts between man and woman was 5.9 (vs 1.2 in the base case analysis).</w:t>
      </w:r>
    </w:p>
    <w:tbl>
      <w:tblPr>
        <w:tblStyle w:val="Grilledutableau"/>
        <w:tblpPr w:leftFromText="141" w:rightFromText="141" w:vertAnchor="text" w:horzAnchor="margin" w:tblpY="46"/>
        <w:tblW w:w="9067" w:type="dxa"/>
        <w:tblLayout w:type="fixed"/>
        <w:tblLook w:val="04A0" w:firstRow="1" w:lastRow="0" w:firstColumn="1" w:lastColumn="0" w:noHBand="0" w:noVBand="1"/>
      </w:tblPr>
      <w:tblGrid>
        <w:gridCol w:w="1413"/>
        <w:gridCol w:w="1989"/>
        <w:gridCol w:w="1838"/>
        <w:gridCol w:w="1843"/>
        <w:gridCol w:w="1984"/>
      </w:tblGrid>
      <w:tr w:rsidR="00CA4FD3" w:rsidRPr="008C5DFA" w:rsidTr="00C3345A">
        <w:tc>
          <w:tcPr>
            <w:tcW w:w="1413" w:type="dxa"/>
            <w:vMerge w:val="restart"/>
          </w:tcPr>
          <w:p w:rsidR="00CA4FD3" w:rsidRPr="006263B3" w:rsidRDefault="00CA4FD3" w:rsidP="00C54618">
            <w:pPr>
              <w:keepNext/>
              <w:contextualSpacing/>
              <w:mirrorIndents/>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Household composition*</w:t>
            </w:r>
          </w:p>
        </w:tc>
        <w:tc>
          <w:tcPr>
            <w:tcW w:w="7654" w:type="dxa"/>
            <w:gridSpan w:val="4"/>
          </w:tcPr>
          <w:p w:rsidR="00CA4FD3" w:rsidRPr="006263B3" w:rsidRDefault="00CA4FD3" w:rsidP="00C54618">
            <w:pPr>
              <w:keepNext/>
              <w:contextualSpacing/>
              <w:mirrorIndents/>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Probability of ESBL-EC acquisition according to the profile of the initial carrier (%)</w:t>
            </w:r>
            <w:r w:rsidR="00C3345A">
              <w:rPr>
                <w:rFonts w:ascii="Times New Roman" w:hAnsi="Times New Roman" w:cs="Times New Roman"/>
                <w:b/>
                <w:sz w:val="20"/>
                <w:szCs w:val="20"/>
                <w:lang w:val="en-GB"/>
              </w:rPr>
              <w:t xml:space="preserve"> </w:t>
            </w:r>
            <w:r w:rsidRPr="006263B3">
              <w:rPr>
                <w:rFonts w:ascii="Times New Roman" w:hAnsi="Times New Roman" w:cs="Times New Roman"/>
                <w:b/>
                <w:sz w:val="20"/>
                <w:szCs w:val="20"/>
                <w:lang w:val="en-US"/>
              </w:rPr>
              <w:t>[95% CI]</w:t>
            </w:r>
          </w:p>
        </w:tc>
      </w:tr>
      <w:tr w:rsidR="00CA4FD3" w:rsidRPr="00C54618" w:rsidTr="00C3345A">
        <w:tc>
          <w:tcPr>
            <w:tcW w:w="1413" w:type="dxa"/>
            <w:vMerge/>
            <w:shd w:val="clear" w:color="auto" w:fill="auto"/>
          </w:tcPr>
          <w:p w:rsidR="00CA4FD3" w:rsidRPr="006263B3" w:rsidRDefault="00CA4FD3" w:rsidP="00C54618">
            <w:pPr>
              <w:keepNext/>
              <w:contextualSpacing/>
              <w:mirrorIndents/>
              <w:jc w:val="center"/>
              <w:rPr>
                <w:rFonts w:ascii="Times New Roman" w:hAnsi="Times New Roman" w:cs="Times New Roman"/>
                <w:b/>
                <w:sz w:val="20"/>
                <w:szCs w:val="20"/>
                <w:lang w:val="en-GB"/>
              </w:rPr>
            </w:pPr>
          </w:p>
        </w:tc>
        <w:tc>
          <w:tcPr>
            <w:tcW w:w="1989"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woman</w:t>
            </w:r>
          </w:p>
        </w:tc>
        <w:tc>
          <w:tcPr>
            <w:tcW w:w="1838"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man</w:t>
            </w:r>
          </w:p>
        </w:tc>
        <w:tc>
          <w:tcPr>
            <w:tcW w:w="1843"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child</w:t>
            </w:r>
          </w:p>
        </w:tc>
        <w:tc>
          <w:tcPr>
            <w:tcW w:w="1984"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baby</w:t>
            </w:r>
          </w:p>
        </w:tc>
      </w:tr>
      <w:tr w:rsidR="00CA4FD3" w:rsidRPr="00C54618" w:rsidTr="00C3345A">
        <w:tc>
          <w:tcPr>
            <w:tcW w:w="1413"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b0c0</w:t>
            </w:r>
          </w:p>
        </w:tc>
        <w:tc>
          <w:tcPr>
            <w:tcW w:w="1989"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[18.2-19.0]</w:t>
            </w:r>
          </w:p>
        </w:tc>
        <w:tc>
          <w:tcPr>
            <w:tcW w:w="1838"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22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 [21.5-22.4]</w:t>
            </w:r>
          </w:p>
        </w:tc>
        <w:tc>
          <w:tcPr>
            <w:tcW w:w="1843"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984"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CA4FD3" w:rsidRPr="00C54618" w:rsidTr="00C3345A">
        <w:tc>
          <w:tcPr>
            <w:tcW w:w="1413"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b0c1</w:t>
            </w:r>
          </w:p>
        </w:tc>
        <w:tc>
          <w:tcPr>
            <w:tcW w:w="1989"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[33.1-34.1]</w:t>
            </w:r>
          </w:p>
        </w:tc>
        <w:tc>
          <w:tcPr>
            <w:tcW w:w="1838"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 [34.9-36.0]</w:t>
            </w:r>
          </w:p>
        </w:tc>
        <w:tc>
          <w:tcPr>
            <w:tcW w:w="1843"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3[34.8-35.9]</w:t>
            </w:r>
          </w:p>
        </w:tc>
        <w:tc>
          <w:tcPr>
            <w:tcW w:w="1984"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CA4FD3" w:rsidRPr="00C54618" w:rsidTr="00C3345A">
        <w:tc>
          <w:tcPr>
            <w:tcW w:w="1413"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b1c0</w:t>
            </w:r>
          </w:p>
        </w:tc>
        <w:tc>
          <w:tcPr>
            <w:tcW w:w="1989"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[62.0-63.1]</w:t>
            </w:r>
          </w:p>
        </w:tc>
        <w:tc>
          <w:tcPr>
            <w:tcW w:w="1838"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 [65.6-66.6]</w:t>
            </w:r>
          </w:p>
        </w:tc>
        <w:tc>
          <w:tcPr>
            <w:tcW w:w="1843"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984"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61</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[60.6-61.8]</w:t>
            </w:r>
          </w:p>
        </w:tc>
      </w:tr>
      <w:tr w:rsidR="00CA4FD3" w:rsidRPr="00C54618" w:rsidTr="00C3345A">
        <w:tc>
          <w:tcPr>
            <w:tcW w:w="1413" w:type="dxa"/>
          </w:tcPr>
          <w:p w:rsidR="00CA4FD3" w:rsidRPr="006263B3" w:rsidRDefault="00CA4FD3" w:rsidP="00C54618">
            <w:pPr>
              <w:keepNext/>
              <w:contextualSpacing/>
              <w:mirrorIndents/>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b1c1</w:t>
            </w:r>
          </w:p>
        </w:tc>
        <w:tc>
          <w:tcPr>
            <w:tcW w:w="1989"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74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1[73.6-74.6]</w:t>
            </w:r>
          </w:p>
        </w:tc>
        <w:tc>
          <w:tcPr>
            <w:tcW w:w="1838"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76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8[76.3-77.3]</w:t>
            </w:r>
          </w:p>
        </w:tc>
        <w:tc>
          <w:tcPr>
            <w:tcW w:w="1843"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73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 [72.6-73.6]</w:t>
            </w:r>
          </w:p>
        </w:tc>
        <w:tc>
          <w:tcPr>
            <w:tcW w:w="1984" w:type="dxa"/>
          </w:tcPr>
          <w:p w:rsidR="00CA4FD3" w:rsidRPr="006263B3" w:rsidRDefault="00CA4FD3" w:rsidP="00C54618">
            <w:pPr>
              <w:keepNext/>
              <w:contextualSpacing/>
              <w:mirrorIndents/>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74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 [73.6-74.6]</w:t>
            </w:r>
          </w:p>
        </w:tc>
      </w:tr>
    </w:tbl>
    <w:p w:rsidR="00CA4FD3" w:rsidRDefault="00CA4FD3" w:rsidP="00CA4FD3">
      <w:pPr>
        <w:pStyle w:val="Lgende"/>
        <w:keepNext/>
        <w:contextualSpacing/>
        <w:rPr>
          <w:sz w:val="20"/>
          <w:szCs w:val="20"/>
          <w:lang w:val="en-GB"/>
        </w:rPr>
      </w:pPr>
      <w:r w:rsidRPr="002F3EED">
        <w:rPr>
          <w:sz w:val="20"/>
          <w:szCs w:val="20"/>
          <w:lang w:val="en-GB"/>
        </w:rPr>
        <w:t>*b0c0- 2 adults without children, b0c1- 2 adults+ child, b1c0- 2 adults + baby, b1c1- 2 adults+ child+ baby.</w:t>
      </w:r>
    </w:p>
    <w:p w:rsidR="00B14787" w:rsidRDefault="00B14787" w:rsidP="00B14787">
      <w:pPr>
        <w:rPr>
          <w:lang w:val="en-GB"/>
        </w:rPr>
      </w:pPr>
    </w:p>
    <w:p w:rsidR="00C3345A" w:rsidRPr="002F3EED" w:rsidRDefault="00C3345A" w:rsidP="00C3345A">
      <w:pPr>
        <w:pStyle w:val="Paragraphedeliste"/>
        <w:numPr>
          <w:ilvl w:val="0"/>
          <w:numId w:val="1"/>
        </w:numPr>
        <w:rPr>
          <w:rFonts w:ascii="Times New Roman" w:hAnsi="Times New Roman" w:cs="Times New Roman"/>
          <w:b/>
          <w:i/>
          <w:sz w:val="20"/>
          <w:szCs w:val="20"/>
          <w:lang w:val="en-GB"/>
        </w:rPr>
      </w:pPr>
      <w:proofErr w:type="gramStart"/>
      <w:r w:rsidRPr="002F3EED">
        <w:rPr>
          <w:rFonts w:ascii="Times New Roman" w:hAnsi="Times New Roman" w:cs="Times New Roman"/>
          <w:b/>
          <w:i/>
          <w:sz w:val="20"/>
          <w:szCs w:val="20"/>
          <w:lang w:val="en-GB"/>
        </w:rPr>
        <w:t>Impact</w:t>
      </w:r>
      <w:proofErr w:type="gramEnd"/>
      <w:r w:rsidRPr="002F3EED">
        <w:rPr>
          <w:rFonts w:ascii="Times New Roman" w:hAnsi="Times New Roman" w:cs="Times New Roman"/>
          <w:b/>
          <w:i/>
          <w:sz w:val="20"/>
          <w:szCs w:val="20"/>
          <w:lang w:val="en-GB"/>
        </w:rPr>
        <w:t xml:space="preserve"> of the 10% improvement in hand hygiene compliance. </w:t>
      </w:r>
    </w:p>
    <w:p w:rsidR="00C3345A" w:rsidRPr="002F3EED" w:rsidRDefault="00C3345A" w:rsidP="00C3345A">
      <w:pPr>
        <w:pStyle w:val="Lgende"/>
        <w:keepNext/>
        <w:jc w:val="both"/>
        <w:rPr>
          <w:sz w:val="20"/>
          <w:szCs w:val="20"/>
          <w:lang w:val="en-GB"/>
        </w:rPr>
      </w:pPr>
      <w:r w:rsidRPr="002F3EED">
        <w:rPr>
          <w:rFonts w:ascii="Times New Roman" w:hAnsi="Times New Roman" w:cs="Times New Roman"/>
          <w:i w:val="0"/>
          <w:color w:val="auto"/>
          <w:sz w:val="20"/>
          <w:szCs w:val="20"/>
          <w:lang w:val="en-GB"/>
        </w:rPr>
        <w:t>When the impact of HH on the probability of ESBL-PE acquisition was lower than in our main analysis (10% vs. 50%), the superiority of the intervention targeting hand hygiene compliance over reduction in antibiotic use was conﬁrmed (Supplementary Table S5).</w:t>
      </w:r>
    </w:p>
    <w:p w:rsidR="00C3345A" w:rsidRPr="002F3EED" w:rsidRDefault="00C3345A" w:rsidP="00C3345A">
      <w:pPr>
        <w:pStyle w:val="Lgende"/>
        <w:keepNext/>
        <w:jc w:val="both"/>
        <w:rPr>
          <w:rFonts w:ascii="Times New Roman" w:hAnsi="Times New Roman" w:cs="Times New Roman"/>
          <w:i w:val="0"/>
          <w:color w:val="000000" w:themeColor="text1"/>
          <w:sz w:val="20"/>
          <w:szCs w:val="20"/>
          <w:lang w:val="en-GB"/>
        </w:rPr>
      </w:pPr>
      <w:r w:rsidRPr="002F3EED">
        <w:rPr>
          <w:rFonts w:ascii="Times New Roman" w:hAnsi="Times New Roman" w:cs="Times New Roman"/>
          <w:b/>
          <w:color w:val="000000" w:themeColor="text1"/>
          <w:sz w:val="20"/>
          <w:szCs w:val="20"/>
          <w:lang w:val="en-US"/>
        </w:rPr>
        <w:t>Supplementary Table S5.</w:t>
      </w:r>
      <w:r w:rsidRPr="002F3EED">
        <w:rPr>
          <w:rFonts w:ascii="Times New Roman" w:hAnsi="Times New Roman" w:cs="Times New Roman"/>
          <w:color w:val="000000" w:themeColor="text1"/>
          <w:sz w:val="20"/>
          <w:szCs w:val="20"/>
          <w:lang w:val="en-US"/>
        </w:rPr>
        <w:t xml:space="preserve"> </w:t>
      </w:r>
      <w:r w:rsidRPr="002F3EED">
        <w:rPr>
          <w:rFonts w:ascii="Times New Roman" w:hAnsi="Times New Roman" w:cs="Times New Roman"/>
          <w:i w:val="0"/>
          <w:color w:val="000000" w:themeColor="text1"/>
          <w:sz w:val="20"/>
          <w:szCs w:val="20"/>
          <w:lang w:val="en-GB"/>
        </w:rPr>
        <w:t>Results of univariate uncertainty analysis where the HH improved by 10% (vs 50%).</w:t>
      </w:r>
    </w:p>
    <w:tbl>
      <w:tblPr>
        <w:tblStyle w:val="Grilledutableau"/>
        <w:tblpPr w:leftFromText="141" w:rightFromText="141" w:vertAnchor="text" w:horzAnchor="margin" w:tblpY="-27"/>
        <w:tblW w:w="10201" w:type="dxa"/>
        <w:tblLayout w:type="fixed"/>
        <w:tblLook w:val="04A0" w:firstRow="1" w:lastRow="0" w:firstColumn="1" w:lastColumn="0" w:noHBand="0" w:noVBand="1"/>
      </w:tblPr>
      <w:tblGrid>
        <w:gridCol w:w="1413"/>
        <w:gridCol w:w="1559"/>
        <w:gridCol w:w="1418"/>
        <w:gridCol w:w="1417"/>
        <w:gridCol w:w="1418"/>
        <w:gridCol w:w="850"/>
        <w:gridCol w:w="709"/>
        <w:gridCol w:w="709"/>
        <w:gridCol w:w="708"/>
      </w:tblGrid>
      <w:tr w:rsidR="00C3345A" w:rsidRPr="008C5DFA" w:rsidTr="00F45BD9">
        <w:tc>
          <w:tcPr>
            <w:tcW w:w="1413" w:type="dxa"/>
            <w:vMerge w:val="restart"/>
          </w:tcPr>
          <w:p w:rsidR="00C3345A" w:rsidRPr="00C3345A" w:rsidRDefault="00C3345A" w:rsidP="00F45BD9">
            <w:pPr>
              <w:keepNext/>
              <w:jc w:val="center"/>
              <w:rPr>
                <w:rFonts w:ascii="Times New Roman" w:hAnsi="Times New Roman" w:cs="Times New Roman"/>
                <w:b/>
                <w:sz w:val="20"/>
                <w:szCs w:val="20"/>
                <w:lang w:val="en-GB"/>
              </w:rPr>
            </w:pPr>
            <w:r w:rsidRPr="00C3345A">
              <w:rPr>
                <w:rFonts w:ascii="Times New Roman" w:hAnsi="Times New Roman" w:cs="Times New Roman"/>
                <w:b/>
                <w:sz w:val="20"/>
                <w:szCs w:val="20"/>
                <w:lang w:val="en-GB"/>
              </w:rPr>
              <w:t>Household composition*</w:t>
            </w:r>
          </w:p>
        </w:tc>
        <w:tc>
          <w:tcPr>
            <w:tcW w:w="5812" w:type="dxa"/>
            <w:gridSpan w:val="4"/>
          </w:tcPr>
          <w:p w:rsidR="00C3345A" w:rsidRPr="00C3345A" w:rsidRDefault="00C3345A" w:rsidP="00F45BD9">
            <w:pPr>
              <w:keepNext/>
              <w:jc w:val="center"/>
              <w:rPr>
                <w:rFonts w:ascii="Times New Roman" w:hAnsi="Times New Roman" w:cs="Times New Roman"/>
                <w:b/>
                <w:sz w:val="20"/>
                <w:szCs w:val="20"/>
                <w:lang w:val="en-GB"/>
              </w:rPr>
            </w:pPr>
            <w:r w:rsidRPr="00C3345A">
              <w:rPr>
                <w:rFonts w:ascii="Times New Roman" w:hAnsi="Times New Roman" w:cs="Times New Roman"/>
                <w:b/>
                <w:sz w:val="20"/>
                <w:szCs w:val="20"/>
                <w:lang w:val="en-GB"/>
              </w:rPr>
              <w:t>Probability of ESBL-EC acquisition according to the profile of the initial carrier (%)</w:t>
            </w:r>
            <w:r w:rsidRPr="00C3345A">
              <w:rPr>
                <w:rFonts w:ascii="Times New Roman" w:hAnsi="Times New Roman" w:cs="Times New Roman"/>
                <w:b/>
                <w:sz w:val="20"/>
                <w:szCs w:val="20"/>
                <w:lang w:val="en-US"/>
              </w:rPr>
              <w:t>[95% CI]</w:t>
            </w:r>
          </w:p>
        </w:tc>
        <w:tc>
          <w:tcPr>
            <w:tcW w:w="2976" w:type="dxa"/>
            <w:gridSpan w:val="4"/>
          </w:tcPr>
          <w:p w:rsidR="00C3345A" w:rsidRPr="00C3345A" w:rsidRDefault="00C3345A" w:rsidP="00F45BD9">
            <w:pPr>
              <w:keepNext/>
              <w:jc w:val="center"/>
              <w:rPr>
                <w:rFonts w:ascii="Times New Roman" w:hAnsi="Times New Roman" w:cs="Times New Roman"/>
                <w:b/>
                <w:sz w:val="20"/>
                <w:szCs w:val="20"/>
                <w:lang w:val="en-GB"/>
              </w:rPr>
            </w:pPr>
            <w:r w:rsidRPr="00C3345A">
              <w:rPr>
                <w:rFonts w:ascii="Times New Roman" w:hAnsi="Times New Roman" w:cs="Times New Roman"/>
                <w:b/>
                <w:sz w:val="20"/>
                <w:szCs w:val="20"/>
                <w:lang w:val="en-GB"/>
              </w:rPr>
              <w:t>Reduction from the base case</w:t>
            </w:r>
          </w:p>
          <w:p w:rsidR="00C3345A" w:rsidRPr="00C3345A" w:rsidRDefault="00C3345A" w:rsidP="00F45BD9">
            <w:pPr>
              <w:keepNext/>
              <w:jc w:val="center"/>
              <w:rPr>
                <w:rFonts w:ascii="Times New Roman" w:hAnsi="Times New Roman" w:cs="Times New Roman"/>
                <w:b/>
                <w:sz w:val="20"/>
                <w:szCs w:val="20"/>
                <w:lang w:val="en-GB"/>
              </w:rPr>
            </w:pPr>
            <w:r w:rsidRPr="00C3345A">
              <w:rPr>
                <w:rFonts w:ascii="Times New Roman" w:hAnsi="Times New Roman" w:cs="Times New Roman"/>
                <w:b/>
                <w:sz w:val="20"/>
                <w:szCs w:val="20"/>
                <w:lang w:val="en-GB"/>
              </w:rPr>
              <w:t>(%)</w:t>
            </w:r>
          </w:p>
        </w:tc>
      </w:tr>
      <w:tr w:rsidR="00C3345A" w:rsidRPr="006263B3" w:rsidTr="00F45BD9">
        <w:tc>
          <w:tcPr>
            <w:tcW w:w="1413" w:type="dxa"/>
            <w:vMerge/>
            <w:shd w:val="clear" w:color="auto" w:fill="auto"/>
          </w:tcPr>
          <w:p w:rsidR="00C3345A" w:rsidRPr="006263B3" w:rsidRDefault="00C3345A" w:rsidP="00F45BD9">
            <w:pPr>
              <w:keepNext/>
              <w:jc w:val="center"/>
              <w:rPr>
                <w:rFonts w:ascii="Times New Roman" w:hAnsi="Times New Roman" w:cs="Times New Roman"/>
                <w:sz w:val="20"/>
                <w:szCs w:val="20"/>
                <w:lang w:val="en-GB"/>
              </w:rPr>
            </w:pPr>
          </w:p>
        </w:tc>
        <w:tc>
          <w:tcPr>
            <w:tcW w:w="1559"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woman</w:t>
            </w:r>
          </w:p>
        </w:tc>
        <w:tc>
          <w:tcPr>
            <w:tcW w:w="1418"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man</w:t>
            </w:r>
          </w:p>
        </w:tc>
        <w:tc>
          <w:tcPr>
            <w:tcW w:w="1417"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child</w:t>
            </w:r>
          </w:p>
        </w:tc>
        <w:tc>
          <w:tcPr>
            <w:tcW w:w="1418"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baby</w:t>
            </w:r>
          </w:p>
        </w:tc>
        <w:tc>
          <w:tcPr>
            <w:tcW w:w="850"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woman</w:t>
            </w:r>
          </w:p>
        </w:tc>
        <w:tc>
          <w:tcPr>
            <w:tcW w:w="709"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man</w:t>
            </w:r>
          </w:p>
        </w:tc>
        <w:tc>
          <w:tcPr>
            <w:tcW w:w="709"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child</w:t>
            </w:r>
          </w:p>
        </w:tc>
        <w:tc>
          <w:tcPr>
            <w:tcW w:w="708"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baby</w:t>
            </w:r>
          </w:p>
        </w:tc>
      </w:tr>
      <w:tr w:rsidR="00C3345A" w:rsidRPr="006263B3" w:rsidTr="00F45BD9">
        <w:tc>
          <w:tcPr>
            <w:tcW w:w="1413"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b0c0</w:t>
            </w:r>
          </w:p>
        </w:tc>
        <w:tc>
          <w:tcPr>
            <w:tcW w:w="155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 [4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 [5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w:t>
            </w:r>
          </w:p>
        </w:tc>
        <w:tc>
          <w:tcPr>
            <w:tcW w:w="1417"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-7</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70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C3345A" w:rsidRPr="006263B3" w:rsidTr="00F45BD9">
        <w:tc>
          <w:tcPr>
            <w:tcW w:w="1413"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b0c1</w:t>
            </w:r>
          </w:p>
        </w:tc>
        <w:tc>
          <w:tcPr>
            <w:tcW w:w="155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[18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[18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1417"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28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 [28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2-29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w:t>
            </w:r>
          </w:p>
        </w:tc>
        <w:tc>
          <w:tcPr>
            <w:tcW w:w="70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C3345A" w:rsidRPr="006263B3" w:rsidTr="00F45BD9">
        <w:tc>
          <w:tcPr>
            <w:tcW w:w="1413" w:type="dxa"/>
          </w:tcPr>
          <w:p w:rsidR="00C3345A" w:rsidRPr="006263B3" w:rsidRDefault="00C3345A"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b1c0</w:t>
            </w:r>
          </w:p>
        </w:tc>
        <w:tc>
          <w:tcPr>
            <w:tcW w:w="155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 [46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1-47</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 [41</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8-42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w:t>
            </w:r>
          </w:p>
        </w:tc>
        <w:tc>
          <w:tcPr>
            <w:tcW w:w="1417"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41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47</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[47</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0-48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850"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5</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709"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708" w:type="dxa"/>
          </w:tcPr>
          <w:p w:rsidR="00C3345A" w:rsidRPr="006263B3" w:rsidRDefault="00C3345A"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w:t>
            </w:r>
          </w:p>
        </w:tc>
      </w:tr>
      <w:tr w:rsidR="00C3345A" w:rsidRPr="006263B3" w:rsidTr="00F45BD9">
        <w:tc>
          <w:tcPr>
            <w:tcW w:w="1413" w:type="dxa"/>
          </w:tcPr>
          <w:p w:rsidR="00C3345A" w:rsidRPr="006263B3" w:rsidRDefault="00C3345A" w:rsidP="00F45BD9">
            <w:pPr>
              <w:keepNext/>
              <w:contextualSpacing/>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b1c1</w:t>
            </w:r>
          </w:p>
        </w:tc>
        <w:tc>
          <w:tcPr>
            <w:tcW w:w="1559"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[59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6-60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1418"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57</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 [56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8-58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w:t>
            </w:r>
          </w:p>
        </w:tc>
        <w:tc>
          <w:tcPr>
            <w:tcW w:w="1417"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 [64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1-65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1418"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 [62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7-63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w:t>
            </w:r>
          </w:p>
        </w:tc>
        <w:tc>
          <w:tcPr>
            <w:tcW w:w="850"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5</w:t>
            </w:r>
          </w:p>
        </w:tc>
        <w:tc>
          <w:tcPr>
            <w:tcW w:w="709"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5</w:t>
            </w:r>
          </w:p>
        </w:tc>
        <w:tc>
          <w:tcPr>
            <w:tcW w:w="709"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708" w:type="dxa"/>
          </w:tcPr>
          <w:p w:rsidR="00C3345A" w:rsidRPr="006263B3" w:rsidRDefault="00C3345A" w:rsidP="00F45BD9">
            <w:pPr>
              <w:keepNext/>
              <w:contextualSpacing/>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w:t>
            </w:r>
          </w:p>
        </w:tc>
      </w:tr>
    </w:tbl>
    <w:p w:rsidR="00C3345A" w:rsidRPr="002F3EED" w:rsidRDefault="00C3345A" w:rsidP="00C3345A">
      <w:pPr>
        <w:pStyle w:val="Lgende"/>
        <w:keepNext/>
        <w:spacing w:after="160"/>
        <w:contextualSpacing/>
        <w:rPr>
          <w:sz w:val="20"/>
          <w:szCs w:val="20"/>
          <w:lang w:val="en-GB"/>
        </w:rPr>
      </w:pPr>
      <w:r w:rsidRPr="002F3EED">
        <w:rPr>
          <w:sz w:val="20"/>
          <w:szCs w:val="20"/>
          <w:lang w:val="en-GB"/>
        </w:rPr>
        <w:t>*b0c0- 2 adults without children, b0c1- 2 adults+ child, b1c0- 2 adults + baby, b1c1- 2 adults+ child+ baby.</w:t>
      </w:r>
    </w:p>
    <w:p w:rsidR="00C3345A" w:rsidRDefault="00C3345A" w:rsidP="00B14787">
      <w:pPr>
        <w:rPr>
          <w:lang w:val="en-GB"/>
        </w:rPr>
      </w:pPr>
    </w:p>
    <w:p w:rsidR="00F51893" w:rsidRPr="002F3EED" w:rsidRDefault="00F51893" w:rsidP="00F51893">
      <w:pPr>
        <w:pStyle w:val="Paragraphedeliste"/>
        <w:numPr>
          <w:ilvl w:val="0"/>
          <w:numId w:val="1"/>
        </w:numPr>
        <w:rPr>
          <w:rFonts w:ascii="Times New Roman" w:hAnsi="Times New Roman" w:cs="Times New Roman"/>
          <w:b/>
          <w:i/>
          <w:sz w:val="20"/>
          <w:szCs w:val="20"/>
          <w:lang w:val="en-GB"/>
        </w:rPr>
      </w:pPr>
      <w:r w:rsidRPr="002F3EED">
        <w:rPr>
          <w:rFonts w:ascii="Times New Roman" w:hAnsi="Times New Roman" w:cs="Times New Roman"/>
          <w:b/>
          <w:i/>
          <w:sz w:val="20"/>
          <w:szCs w:val="20"/>
          <w:lang w:val="en-GB"/>
        </w:rPr>
        <w:t xml:space="preserve">Impact of the 62% reduction in antibiotic use. </w:t>
      </w:r>
    </w:p>
    <w:p w:rsidR="00F51893" w:rsidRPr="002F3EED" w:rsidRDefault="00F51893" w:rsidP="00F51893">
      <w:pPr>
        <w:spacing w:line="240" w:lineRule="auto"/>
        <w:jc w:val="both"/>
        <w:rPr>
          <w:rFonts w:ascii="Times New Roman" w:hAnsi="Times New Roman" w:cs="Times New Roman"/>
          <w:color w:val="000000" w:themeColor="text1"/>
          <w:sz w:val="20"/>
          <w:szCs w:val="20"/>
          <w:lang w:val="en-GB"/>
        </w:rPr>
      </w:pPr>
      <w:r w:rsidRPr="002F3EED">
        <w:rPr>
          <w:rFonts w:ascii="Times New Roman" w:hAnsi="Times New Roman" w:cs="Times New Roman"/>
          <w:color w:val="000000" w:themeColor="text1"/>
          <w:sz w:val="20"/>
          <w:szCs w:val="20"/>
          <w:lang w:val="en-GB"/>
        </w:rPr>
        <w:t xml:space="preserve">When the antibiotic exposure decreased by 62%, the observed reduction in the probability of ESBL-EC acquisition was still lower than even a 10% improvement in HH compliance. </w:t>
      </w:r>
    </w:p>
    <w:p w:rsidR="00F51893" w:rsidRPr="002F3EED" w:rsidRDefault="00F51893" w:rsidP="00F51893">
      <w:pPr>
        <w:pStyle w:val="Lgende"/>
        <w:keepNext/>
        <w:jc w:val="both"/>
        <w:rPr>
          <w:rFonts w:ascii="Times New Roman" w:hAnsi="Times New Roman" w:cs="Times New Roman"/>
          <w:b/>
          <w:color w:val="000000" w:themeColor="text1"/>
          <w:sz w:val="20"/>
          <w:szCs w:val="20"/>
          <w:lang w:val="en-US"/>
        </w:rPr>
      </w:pPr>
      <w:r w:rsidRPr="002F3EED">
        <w:rPr>
          <w:rFonts w:ascii="Times New Roman" w:hAnsi="Times New Roman" w:cs="Times New Roman"/>
          <w:b/>
          <w:color w:val="000000" w:themeColor="text1"/>
          <w:sz w:val="20"/>
          <w:szCs w:val="20"/>
          <w:lang w:val="en-US"/>
        </w:rPr>
        <w:t>Supplementary Table S6</w:t>
      </w:r>
      <w:r w:rsidRPr="002F3EED">
        <w:rPr>
          <w:rFonts w:ascii="Times New Roman" w:hAnsi="Times New Roman" w:cs="Times New Roman"/>
          <w:i w:val="0"/>
          <w:color w:val="000000" w:themeColor="text1"/>
          <w:sz w:val="20"/>
          <w:szCs w:val="20"/>
          <w:lang w:val="en-GB"/>
        </w:rPr>
        <w:t xml:space="preserve"> Results of univariate uncertainty analysis where the antibiotic use </w:t>
      </w:r>
      <w:proofErr w:type="gramStart"/>
      <w:r w:rsidRPr="002F3EED">
        <w:rPr>
          <w:rFonts w:ascii="Times New Roman" w:hAnsi="Times New Roman" w:cs="Times New Roman"/>
          <w:i w:val="0"/>
          <w:color w:val="000000" w:themeColor="text1"/>
          <w:sz w:val="20"/>
          <w:szCs w:val="20"/>
          <w:lang w:val="en-GB"/>
        </w:rPr>
        <w:t>was reduced</w:t>
      </w:r>
      <w:proofErr w:type="gramEnd"/>
      <w:r w:rsidRPr="002F3EED">
        <w:rPr>
          <w:rFonts w:ascii="Times New Roman" w:hAnsi="Times New Roman" w:cs="Times New Roman"/>
          <w:i w:val="0"/>
          <w:color w:val="000000" w:themeColor="text1"/>
          <w:sz w:val="20"/>
          <w:szCs w:val="20"/>
          <w:lang w:val="en-GB"/>
        </w:rPr>
        <w:t xml:space="preserve"> by 62%.</w:t>
      </w:r>
    </w:p>
    <w:tbl>
      <w:tblPr>
        <w:tblStyle w:val="Grilledutableau"/>
        <w:tblpPr w:leftFromText="141" w:rightFromText="141" w:vertAnchor="text" w:horzAnchor="margin" w:tblpY="-11"/>
        <w:tblW w:w="10201" w:type="dxa"/>
        <w:tblLayout w:type="fixed"/>
        <w:tblLook w:val="04A0" w:firstRow="1" w:lastRow="0" w:firstColumn="1" w:lastColumn="0" w:noHBand="0" w:noVBand="1"/>
      </w:tblPr>
      <w:tblGrid>
        <w:gridCol w:w="1413"/>
        <w:gridCol w:w="1417"/>
        <w:gridCol w:w="1560"/>
        <w:gridCol w:w="1417"/>
        <w:gridCol w:w="1418"/>
        <w:gridCol w:w="850"/>
        <w:gridCol w:w="567"/>
        <w:gridCol w:w="709"/>
        <w:gridCol w:w="850"/>
      </w:tblGrid>
      <w:tr w:rsidR="00F51893" w:rsidRPr="008C5DFA" w:rsidTr="00F51893">
        <w:tc>
          <w:tcPr>
            <w:tcW w:w="1413" w:type="dxa"/>
            <w:vMerge w:val="restart"/>
          </w:tcPr>
          <w:p w:rsidR="00F51893" w:rsidRPr="006263B3" w:rsidRDefault="00F51893" w:rsidP="00F45BD9">
            <w:pPr>
              <w:keepNext/>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Household composition*</w:t>
            </w:r>
          </w:p>
        </w:tc>
        <w:tc>
          <w:tcPr>
            <w:tcW w:w="5812" w:type="dxa"/>
            <w:gridSpan w:val="4"/>
          </w:tcPr>
          <w:p w:rsidR="00F51893" w:rsidRPr="006263B3" w:rsidRDefault="00F51893" w:rsidP="00F45BD9">
            <w:pPr>
              <w:keepNext/>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Probability of ESBL-EC acquisition according to the profile of the initial carrier (%)</w:t>
            </w:r>
            <w:r w:rsidRPr="006263B3">
              <w:rPr>
                <w:rFonts w:ascii="Times New Roman" w:hAnsi="Times New Roman" w:cs="Times New Roman"/>
                <w:b/>
                <w:sz w:val="20"/>
                <w:szCs w:val="20"/>
                <w:lang w:val="en-US"/>
              </w:rPr>
              <w:t>[95% CI]</w:t>
            </w:r>
          </w:p>
        </w:tc>
        <w:tc>
          <w:tcPr>
            <w:tcW w:w="2976" w:type="dxa"/>
            <w:gridSpan w:val="4"/>
          </w:tcPr>
          <w:p w:rsidR="00F51893" w:rsidRPr="006263B3" w:rsidRDefault="00F51893" w:rsidP="00F45BD9">
            <w:pPr>
              <w:keepNext/>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Reduction from the base case</w:t>
            </w:r>
          </w:p>
          <w:p w:rsidR="00F51893" w:rsidRPr="006263B3" w:rsidRDefault="00F51893" w:rsidP="00F45BD9">
            <w:pPr>
              <w:keepNext/>
              <w:jc w:val="center"/>
              <w:rPr>
                <w:rFonts w:ascii="Times New Roman" w:hAnsi="Times New Roman" w:cs="Times New Roman"/>
                <w:b/>
                <w:sz w:val="20"/>
                <w:szCs w:val="20"/>
                <w:lang w:val="en-GB"/>
              </w:rPr>
            </w:pPr>
            <w:r w:rsidRPr="006263B3">
              <w:rPr>
                <w:rFonts w:ascii="Times New Roman" w:hAnsi="Times New Roman" w:cs="Times New Roman"/>
                <w:b/>
                <w:sz w:val="20"/>
                <w:szCs w:val="20"/>
                <w:lang w:val="en-GB"/>
              </w:rPr>
              <w:t>(%)</w:t>
            </w:r>
          </w:p>
        </w:tc>
      </w:tr>
      <w:tr w:rsidR="00F51893" w:rsidRPr="006263B3" w:rsidTr="00F51893">
        <w:tc>
          <w:tcPr>
            <w:tcW w:w="1413" w:type="dxa"/>
            <w:vMerge/>
            <w:shd w:val="clear" w:color="auto" w:fill="auto"/>
          </w:tcPr>
          <w:p w:rsidR="00F51893" w:rsidRPr="006263B3" w:rsidRDefault="00F51893" w:rsidP="00F45BD9">
            <w:pPr>
              <w:keepNext/>
              <w:jc w:val="center"/>
              <w:rPr>
                <w:rFonts w:ascii="Times New Roman" w:hAnsi="Times New Roman" w:cs="Times New Roman"/>
                <w:b/>
                <w:sz w:val="20"/>
                <w:szCs w:val="20"/>
                <w:lang w:val="en-GB"/>
              </w:rPr>
            </w:pPr>
          </w:p>
        </w:tc>
        <w:tc>
          <w:tcPr>
            <w:tcW w:w="1417"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woman</w:t>
            </w:r>
          </w:p>
        </w:tc>
        <w:tc>
          <w:tcPr>
            <w:tcW w:w="1560"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man</w:t>
            </w:r>
          </w:p>
        </w:tc>
        <w:tc>
          <w:tcPr>
            <w:tcW w:w="1417"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child</w:t>
            </w:r>
          </w:p>
        </w:tc>
        <w:tc>
          <w:tcPr>
            <w:tcW w:w="1418"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baby</w:t>
            </w:r>
          </w:p>
        </w:tc>
        <w:tc>
          <w:tcPr>
            <w:tcW w:w="850"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woman</w:t>
            </w:r>
          </w:p>
        </w:tc>
        <w:tc>
          <w:tcPr>
            <w:tcW w:w="567"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man</w:t>
            </w:r>
          </w:p>
        </w:tc>
        <w:tc>
          <w:tcPr>
            <w:tcW w:w="709"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child</w:t>
            </w:r>
          </w:p>
        </w:tc>
        <w:tc>
          <w:tcPr>
            <w:tcW w:w="850"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baby</w:t>
            </w:r>
          </w:p>
        </w:tc>
      </w:tr>
      <w:tr w:rsidR="00F51893" w:rsidRPr="006263B3" w:rsidTr="00F51893">
        <w:tc>
          <w:tcPr>
            <w:tcW w:w="1413"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b0c0</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156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 [6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418"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w:t>
            </w:r>
          </w:p>
        </w:tc>
        <w:tc>
          <w:tcPr>
            <w:tcW w:w="56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w:t>
            </w:r>
          </w:p>
        </w:tc>
        <w:tc>
          <w:tcPr>
            <w:tcW w:w="709"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F51893" w:rsidRPr="006263B3" w:rsidTr="00F51893">
        <w:tc>
          <w:tcPr>
            <w:tcW w:w="1413"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b0c1</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20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 [20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1-21</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0]</w:t>
            </w:r>
          </w:p>
        </w:tc>
        <w:tc>
          <w:tcPr>
            <w:tcW w:w="156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 [19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2-20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29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[29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1-30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1418"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w:t>
            </w:r>
          </w:p>
        </w:tc>
        <w:tc>
          <w:tcPr>
            <w:tcW w:w="56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w:t>
            </w:r>
          </w:p>
        </w:tc>
        <w:tc>
          <w:tcPr>
            <w:tcW w:w="709"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r>
      <w:tr w:rsidR="00F51893" w:rsidRPr="006263B3" w:rsidTr="00F51893">
        <w:tc>
          <w:tcPr>
            <w:tcW w:w="1413"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b1c0</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[48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7-49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w:t>
            </w:r>
          </w:p>
        </w:tc>
        <w:tc>
          <w:tcPr>
            <w:tcW w:w="156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5 [42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9-44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1418"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51 [50</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4-51</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5]</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56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709"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4</w:t>
            </w:r>
          </w:p>
        </w:tc>
      </w:tr>
      <w:tr w:rsidR="00F51893" w:rsidRPr="006263B3" w:rsidTr="00F51893">
        <w:tc>
          <w:tcPr>
            <w:tcW w:w="1413" w:type="dxa"/>
          </w:tcPr>
          <w:p w:rsidR="00F51893" w:rsidRPr="006263B3" w:rsidRDefault="00F51893" w:rsidP="00F45BD9">
            <w:pPr>
              <w:keepNext/>
              <w:jc w:val="center"/>
              <w:rPr>
                <w:rFonts w:ascii="Times New Roman" w:hAnsi="Times New Roman" w:cs="Times New Roman"/>
                <w:b/>
                <w:sz w:val="16"/>
                <w:szCs w:val="16"/>
                <w:lang w:val="en-GB"/>
              </w:rPr>
            </w:pPr>
            <w:r w:rsidRPr="006263B3">
              <w:rPr>
                <w:rFonts w:ascii="Times New Roman" w:hAnsi="Times New Roman" w:cs="Times New Roman"/>
                <w:b/>
                <w:sz w:val="16"/>
                <w:szCs w:val="16"/>
                <w:lang w:val="en-GB"/>
              </w:rPr>
              <w:t>b1c1</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 [62</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8-63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9]</w:t>
            </w:r>
          </w:p>
        </w:tc>
        <w:tc>
          <w:tcPr>
            <w:tcW w:w="156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58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 [58</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1-59</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w:t>
            </w:r>
          </w:p>
        </w:tc>
        <w:tc>
          <w:tcPr>
            <w:tcW w:w="141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 [65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2-66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3]</w:t>
            </w:r>
          </w:p>
        </w:tc>
        <w:tc>
          <w:tcPr>
            <w:tcW w:w="1418"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66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2 [65</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6-66</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7]</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567"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-4</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6</w:t>
            </w:r>
          </w:p>
        </w:tc>
        <w:tc>
          <w:tcPr>
            <w:tcW w:w="709"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1</w:t>
            </w:r>
          </w:p>
        </w:tc>
        <w:tc>
          <w:tcPr>
            <w:tcW w:w="850" w:type="dxa"/>
          </w:tcPr>
          <w:p w:rsidR="00F51893" w:rsidRPr="006263B3" w:rsidRDefault="00F51893" w:rsidP="00F45BD9">
            <w:pPr>
              <w:keepNext/>
              <w:jc w:val="center"/>
              <w:rPr>
                <w:rFonts w:ascii="Times New Roman" w:hAnsi="Times New Roman" w:cs="Times New Roman"/>
                <w:sz w:val="16"/>
                <w:szCs w:val="16"/>
                <w:lang w:val="en-GB"/>
              </w:rPr>
            </w:pPr>
            <w:r w:rsidRPr="006263B3">
              <w:rPr>
                <w:rFonts w:ascii="Times New Roman" w:hAnsi="Times New Roman" w:cs="Times New Roman"/>
                <w:sz w:val="16"/>
                <w:szCs w:val="16"/>
                <w:lang w:val="en-GB"/>
              </w:rPr>
              <w:t>-3</w:t>
            </w:r>
            <w:r w:rsidR="002C7656">
              <w:rPr>
                <w:rFonts w:ascii="Times New Roman" w:hAnsi="Times New Roman" w:cs="Times New Roman"/>
                <w:sz w:val="16"/>
                <w:szCs w:val="16"/>
                <w:lang w:val="en-GB"/>
              </w:rPr>
              <w:t>.</w:t>
            </w:r>
            <w:r w:rsidRPr="006263B3">
              <w:rPr>
                <w:rFonts w:ascii="Times New Roman" w:hAnsi="Times New Roman" w:cs="Times New Roman"/>
                <w:sz w:val="16"/>
                <w:szCs w:val="16"/>
                <w:lang w:val="en-GB"/>
              </w:rPr>
              <w:t>8</w:t>
            </w:r>
          </w:p>
        </w:tc>
      </w:tr>
    </w:tbl>
    <w:p w:rsidR="00CA4FD3" w:rsidRPr="00F51893" w:rsidRDefault="00F51893" w:rsidP="00F51893">
      <w:pPr>
        <w:pStyle w:val="Lgende"/>
        <w:keepNext/>
        <w:rPr>
          <w:rFonts w:ascii="Times New Roman" w:hAnsi="Times New Roman" w:cs="Times New Roman"/>
          <w:sz w:val="24"/>
          <w:szCs w:val="24"/>
          <w:lang w:val="en-GB"/>
        </w:rPr>
      </w:pPr>
      <w:r w:rsidRPr="002F3EED">
        <w:rPr>
          <w:sz w:val="20"/>
          <w:szCs w:val="20"/>
          <w:lang w:val="en-GB"/>
        </w:rPr>
        <w:t>*b0c0- 2 adults without children, b0c1- 2 adults+ child, b1c0- 2 adults + baby, b1c1- 2 adults+ child+ baby</w:t>
      </w:r>
      <w:r>
        <w:rPr>
          <w:sz w:val="20"/>
          <w:szCs w:val="20"/>
          <w:lang w:val="en-GB"/>
        </w:rPr>
        <w:t>.</w:t>
      </w:r>
      <w:r w:rsidRPr="00F51893">
        <w:rPr>
          <w:rFonts w:ascii="Times New Roman" w:hAnsi="Times New Roman" w:cs="Times New Roman"/>
          <w:sz w:val="24"/>
          <w:szCs w:val="24"/>
          <w:lang w:val="en-GB"/>
        </w:rPr>
        <w:t xml:space="preserve"> </w:t>
      </w:r>
    </w:p>
    <w:sectPr w:rsidR="00CA4FD3" w:rsidRPr="00F51893" w:rsidSect="00F518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4C" w:rsidRDefault="00F2614C" w:rsidP="00873393">
      <w:pPr>
        <w:spacing w:after="0" w:line="240" w:lineRule="auto"/>
      </w:pPr>
      <w:r>
        <w:separator/>
      </w:r>
    </w:p>
  </w:endnote>
  <w:endnote w:type="continuationSeparator" w:id="0">
    <w:p w:rsidR="00F2614C" w:rsidRDefault="00F2614C" w:rsidP="0087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5817"/>
      <w:docPartObj>
        <w:docPartGallery w:val="Page Numbers (Bottom of Page)"/>
        <w:docPartUnique/>
      </w:docPartObj>
    </w:sdtPr>
    <w:sdtEndPr/>
    <w:sdtContent>
      <w:p w:rsidR="00C54618" w:rsidRDefault="00C54618">
        <w:pPr>
          <w:pStyle w:val="Pieddepage"/>
          <w:jc w:val="right"/>
        </w:pPr>
        <w:r>
          <w:fldChar w:fldCharType="begin"/>
        </w:r>
        <w:r>
          <w:instrText>PAGE   \* MERGEFORMAT</w:instrText>
        </w:r>
        <w:r>
          <w:fldChar w:fldCharType="separate"/>
        </w:r>
        <w:r w:rsidR="008C5DFA">
          <w:rPr>
            <w:noProof/>
          </w:rPr>
          <w:t>6</w:t>
        </w:r>
        <w:r>
          <w:fldChar w:fldCharType="end"/>
        </w:r>
      </w:p>
    </w:sdtContent>
  </w:sdt>
  <w:p w:rsidR="00C54618" w:rsidRDefault="00C546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4C" w:rsidRDefault="00F2614C" w:rsidP="00873393">
      <w:pPr>
        <w:spacing w:after="0" w:line="240" w:lineRule="auto"/>
      </w:pPr>
      <w:r>
        <w:separator/>
      </w:r>
    </w:p>
  </w:footnote>
  <w:footnote w:type="continuationSeparator" w:id="0">
    <w:p w:rsidR="00F2614C" w:rsidRDefault="00F2614C" w:rsidP="00873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059"/>
    <w:multiLevelType w:val="hybridMultilevel"/>
    <w:tmpl w:val="7FE033D2"/>
    <w:lvl w:ilvl="0" w:tplc="4BA2DF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9A6D84"/>
    <w:multiLevelType w:val="hybridMultilevel"/>
    <w:tmpl w:val="7FE033D2"/>
    <w:lvl w:ilvl="0" w:tplc="4BA2DF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D1301E"/>
    <w:multiLevelType w:val="hybridMultilevel"/>
    <w:tmpl w:val="7FE033D2"/>
    <w:lvl w:ilvl="0" w:tplc="4BA2DF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35592B"/>
    <w:multiLevelType w:val="hybridMultilevel"/>
    <w:tmpl w:val="7FE033D2"/>
    <w:lvl w:ilvl="0" w:tplc="4BA2DF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F2"/>
    <w:rsid w:val="00003FBD"/>
    <w:rsid w:val="00007697"/>
    <w:rsid w:val="000207F2"/>
    <w:rsid w:val="00022E86"/>
    <w:rsid w:val="000805D2"/>
    <w:rsid w:val="00097010"/>
    <w:rsid w:val="000C023D"/>
    <w:rsid w:val="000C7D2E"/>
    <w:rsid w:val="000E5976"/>
    <w:rsid w:val="00113D5E"/>
    <w:rsid w:val="001153ED"/>
    <w:rsid w:val="0012437C"/>
    <w:rsid w:val="001358B2"/>
    <w:rsid w:val="0015356A"/>
    <w:rsid w:val="0015509F"/>
    <w:rsid w:val="00165B92"/>
    <w:rsid w:val="00167C1A"/>
    <w:rsid w:val="0017145B"/>
    <w:rsid w:val="00177690"/>
    <w:rsid w:val="001827A9"/>
    <w:rsid w:val="001912B9"/>
    <w:rsid w:val="00196F35"/>
    <w:rsid w:val="00197BF9"/>
    <w:rsid w:val="001C63DE"/>
    <w:rsid w:val="001E4923"/>
    <w:rsid w:val="001F746A"/>
    <w:rsid w:val="002242C0"/>
    <w:rsid w:val="002451FA"/>
    <w:rsid w:val="002755DD"/>
    <w:rsid w:val="002758DC"/>
    <w:rsid w:val="0028561B"/>
    <w:rsid w:val="002856C9"/>
    <w:rsid w:val="002B52FF"/>
    <w:rsid w:val="002B5874"/>
    <w:rsid w:val="002C7656"/>
    <w:rsid w:val="002D7C2D"/>
    <w:rsid w:val="002E3A96"/>
    <w:rsid w:val="00320422"/>
    <w:rsid w:val="0032099F"/>
    <w:rsid w:val="0032241E"/>
    <w:rsid w:val="00325629"/>
    <w:rsid w:val="00336EE3"/>
    <w:rsid w:val="0034122D"/>
    <w:rsid w:val="00366DDE"/>
    <w:rsid w:val="00371446"/>
    <w:rsid w:val="00380089"/>
    <w:rsid w:val="0039658C"/>
    <w:rsid w:val="003A21C8"/>
    <w:rsid w:val="003B7DFE"/>
    <w:rsid w:val="003C4078"/>
    <w:rsid w:val="003D7DFE"/>
    <w:rsid w:val="00414BCE"/>
    <w:rsid w:val="0042222C"/>
    <w:rsid w:val="00436F06"/>
    <w:rsid w:val="00451253"/>
    <w:rsid w:val="00466DDC"/>
    <w:rsid w:val="00472C89"/>
    <w:rsid w:val="00483541"/>
    <w:rsid w:val="004953D5"/>
    <w:rsid w:val="004B4D2B"/>
    <w:rsid w:val="004B745B"/>
    <w:rsid w:val="004C3349"/>
    <w:rsid w:val="004D7625"/>
    <w:rsid w:val="004F259B"/>
    <w:rsid w:val="00533537"/>
    <w:rsid w:val="00537743"/>
    <w:rsid w:val="00543793"/>
    <w:rsid w:val="00567591"/>
    <w:rsid w:val="005A045B"/>
    <w:rsid w:val="005B3E54"/>
    <w:rsid w:val="005C6F9A"/>
    <w:rsid w:val="005E69BB"/>
    <w:rsid w:val="005E78B4"/>
    <w:rsid w:val="005F1961"/>
    <w:rsid w:val="006007F3"/>
    <w:rsid w:val="00611E6A"/>
    <w:rsid w:val="006263B3"/>
    <w:rsid w:val="00656D62"/>
    <w:rsid w:val="0066656F"/>
    <w:rsid w:val="006841E4"/>
    <w:rsid w:val="006A2E99"/>
    <w:rsid w:val="006C7326"/>
    <w:rsid w:val="006F066E"/>
    <w:rsid w:val="006F2F5E"/>
    <w:rsid w:val="00733775"/>
    <w:rsid w:val="0074559C"/>
    <w:rsid w:val="007456F2"/>
    <w:rsid w:val="00753FE7"/>
    <w:rsid w:val="0075656D"/>
    <w:rsid w:val="00782B9F"/>
    <w:rsid w:val="00783C78"/>
    <w:rsid w:val="007876AF"/>
    <w:rsid w:val="007932A2"/>
    <w:rsid w:val="007A11A9"/>
    <w:rsid w:val="007A658C"/>
    <w:rsid w:val="007B3D49"/>
    <w:rsid w:val="007B7B56"/>
    <w:rsid w:val="007C16C9"/>
    <w:rsid w:val="007E4CA0"/>
    <w:rsid w:val="007F75DD"/>
    <w:rsid w:val="00823B69"/>
    <w:rsid w:val="00873393"/>
    <w:rsid w:val="00881A8D"/>
    <w:rsid w:val="00892C66"/>
    <w:rsid w:val="008A604F"/>
    <w:rsid w:val="008C5DFA"/>
    <w:rsid w:val="008D7C46"/>
    <w:rsid w:val="008F2F28"/>
    <w:rsid w:val="00904291"/>
    <w:rsid w:val="00920E27"/>
    <w:rsid w:val="00930B8D"/>
    <w:rsid w:val="00954DAA"/>
    <w:rsid w:val="00955B36"/>
    <w:rsid w:val="0098022D"/>
    <w:rsid w:val="00986F7D"/>
    <w:rsid w:val="009A2EB7"/>
    <w:rsid w:val="009D2745"/>
    <w:rsid w:val="009D7ED9"/>
    <w:rsid w:val="009E2A15"/>
    <w:rsid w:val="009E3708"/>
    <w:rsid w:val="009F236B"/>
    <w:rsid w:val="009F716A"/>
    <w:rsid w:val="00A01A07"/>
    <w:rsid w:val="00A273F2"/>
    <w:rsid w:val="00A42232"/>
    <w:rsid w:val="00A70BE4"/>
    <w:rsid w:val="00A710A2"/>
    <w:rsid w:val="00A7261A"/>
    <w:rsid w:val="00A7408A"/>
    <w:rsid w:val="00AB546F"/>
    <w:rsid w:val="00AB5E2A"/>
    <w:rsid w:val="00AC5931"/>
    <w:rsid w:val="00AE71BF"/>
    <w:rsid w:val="00AF07AA"/>
    <w:rsid w:val="00AF0B2A"/>
    <w:rsid w:val="00B0255B"/>
    <w:rsid w:val="00B041D9"/>
    <w:rsid w:val="00B14787"/>
    <w:rsid w:val="00B27CF4"/>
    <w:rsid w:val="00B4246C"/>
    <w:rsid w:val="00B601C8"/>
    <w:rsid w:val="00B60D66"/>
    <w:rsid w:val="00B747B3"/>
    <w:rsid w:val="00B77C5D"/>
    <w:rsid w:val="00B83458"/>
    <w:rsid w:val="00B95678"/>
    <w:rsid w:val="00BB4123"/>
    <w:rsid w:val="00BB4C62"/>
    <w:rsid w:val="00BC4829"/>
    <w:rsid w:val="00BD5B83"/>
    <w:rsid w:val="00BE1A11"/>
    <w:rsid w:val="00BF17FB"/>
    <w:rsid w:val="00C02507"/>
    <w:rsid w:val="00C04287"/>
    <w:rsid w:val="00C23554"/>
    <w:rsid w:val="00C3345A"/>
    <w:rsid w:val="00C54618"/>
    <w:rsid w:val="00C95FDA"/>
    <w:rsid w:val="00C97C7C"/>
    <w:rsid w:val="00CA4FD3"/>
    <w:rsid w:val="00CB1D4B"/>
    <w:rsid w:val="00CC68F1"/>
    <w:rsid w:val="00CC6CAC"/>
    <w:rsid w:val="00CF6DA4"/>
    <w:rsid w:val="00D0056E"/>
    <w:rsid w:val="00D135BC"/>
    <w:rsid w:val="00D21302"/>
    <w:rsid w:val="00D33D12"/>
    <w:rsid w:val="00D54669"/>
    <w:rsid w:val="00D566BE"/>
    <w:rsid w:val="00D632AD"/>
    <w:rsid w:val="00D639E8"/>
    <w:rsid w:val="00D84558"/>
    <w:rsid w:val="00DC431D"/>
    <w:rsid w:val="00E01D0E"/>
    <w:rsid w:val="00E05354"/>
    <w:rsid w:val="00E1465B"/>
    <w:rsid w:val="00E17FE6"/>
    <w:rsid w:val="00E206A3"/>
    <w:rsid w:val="00E311E9"/>
    <w:rsid w:val="00E35DB5"/>
    <w:rsid w:val="00E44375"/>
    <w:rsid w:val="00E716F3"/>
    <w:rsid w:val="00E84A24"/>
    <w:rsid w:val="00E85A26"/>
    <w:rsid w:val="00E8686F"/>
    <w:rsid w:val="00E86F7F"/>
    <w:rsid w:val="00EA12A0"/>
    <w:rsid w:val="00EA21F4"/>
    <w:rsid w:val="00EB7406"/>
    <w:rsid w:val="00EC1C20"/>
    <w:rsid w:val="00EC6C42"/>
    <w:rsid w:val="00EE1F47"/>
    <w:rsid w:val="00EE22B2"/>
    <w:rsid w:val="00EE68D1"/>
    <w:rsid w:val="00EF1AB0"/>
    <w:rsid w:val="00F160EB"/>
    <w:rsid w:val="00F2614C"/>
    <w:rsid w:val="00F51893"/>
    <w:rsid w:val="00F72F10"/>
    <w:rsid w:val="00F87E0B"/>
    <w:rsid w:val="00F95D75"/>
    <w:rsid w:val="00FA024A"/>
    <w:rsid w:val="00FC1B36"/>
    <w:rsid w:val="00FC5E27"/>
    <w:rsid w:val="00FF0184"/>
    <w:rsid w:val="00FF46C5"/>
    <w:rsid w:val="00FF6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06CA"/>
  <w15:chartTrackingRefBased/>
  <w15:docId w15:val="{E4841FFF-2A90-4710-86FF-50F726D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6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954DAA"/>
    <w:pPr>
      <w:tabs>
        <w:tab w:val="left" w:pos="504"/>
      </w:tabs>
      <w:spacing w:after="240" w:line="240" w:lineRule="auto"/>
      <w:ind w:left="504" w:hanging="504"/>
    </w:pPr>
  </w:style>
  <w:style w:type="table" w:styleId="Grilledutableau">
    <w:name w:val="Table Grid"/>
    <w:basedOn w:val="TableauNormal"/>
    <w:uiPriority w:val="39"/>
    <w:rsid w:val="003B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3B7DFE"/>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E86F7F"/>
    <w:rPr>
      <w:rFonts w:asciiTheme="majorHAnsi" w:eastAsiaTheme="majorEastAsia" w:hAnsiTheme="majorHAnsi" w:cstheme="majorBidi"/>
      <w:color w:val="2E74B5" w:themeColor="accent1" w:themeShade="BF"/>
      <w:sz w:val="32"/>
      <w:szCs w:val="32"/>
    </w:rPr>
  </w:style>
  <w:style w:type="paragraph" w:customStyle="1" w:styleId="MTDisplayEquation">
    <w:name w:val="MTDisplayEquation"/>
    <w:basedOn w:val="Normal"/>
    <w:next w:val="Normal"/>
    <w:link w:val="MTDisplayEquationCar"/>
    <w:uiPriority w:val="99"/>
    <w:rsid w:val="00A70BE4"/>
    <w:pPr>
      <w:tabs>
        <w:tab w:val="center" w:pos="4540"/>
        <w:tab w:val="right" w:pos="9080"/>
      </w:tabs>
      <w:spacing w:after="120" w:line="360" w:lineRule="auto"/>
      <w:jc w:val="both"/>
    </w:pPr>
    <w:rPr>
      <w:rFonts w:ascii="Times New Roman" w:eastAsia="MS Mincho" w:hAnsi="Times New Roman" w:cs="Times New Roman"/>
      <w:sz w:val="24"/>
      <w:szCs w:val="20"/>
      <w:lang w:val="en-US" w:eastAsia="ja-JP"/>
    </w:rPr>
  </w:style>
  <w:style w:type="character" w:customStyle="1" w:styleId="MTDisplayEquationCar">
    <w:name w:val="MTDisplayEquation Car"/>
    <w:link w:val="MTDisplayEquation"/>
    <w:uiPriority w:val="99"/>
    <w:locked/>
    <w:rsid w:val="00A70BE4"/>
    <w:rPr>
      <w:rFonts w:ascii="Times New Roman" w:eastAsia="MS Mincho" w:hAnsi="Times New Roman" w:cs="Times New Roman"/>
      <w:sz w:val="24"/>
      <w:szCs w:val="20"/>
      <w:lang w:val="en-US" w:eastAsia="ja-JP"/>
    </w:rPr>
  </w:style>
  <w:style w:type="paragraph" w:styleId="En-tte">
    <w:name w:val="header"/>
    <w:basedOn w:val="Normal"/>
    <w:link w:val="En-tteCar"/>
    <w:uiPriority w:val="99"/>
    <w:unhideWhenUsed/>
    <w:rsid w:val="00873393"/>
    <w:pPr>
      <w:tabs>
        <w:tab w:val="center" w:pos="4536"/>
        <w:tab w:val="right" w:pos="9072"/>
      </w:tabs>
      <w:spacing w:after="0" w:line="240" w:lineRule="auto"/>
    </w:pPr>
  </w:style>
  <w:style w:type="character" w:customStyle="1" w:styleId="En-tteCar">
    <w:name w:val="En-tête Car"/>
    <w:basedOn w:val="Policepardfaut"/>
    <w:link w:val="En-tte"/>
    <w:uiPriority w:val="99"/>
    <w:rsid w:val="00873393"/>
  </w:style>
  <w:style w:type="paragraph" w:styleId="Pieddepage">
    <w:name w:val="footer"/>
    <w:basedOn w:val="Normal"/>
    <w:link w:val="PieddepageCar"/>
    <w:uiPriority w:val="99"/>
    <w:unhideWhenUsed/>
    <w:rsid w:val="00873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393"/>
  </w:style>
  <w:style w:type="paragraph" w:styleId="Paragraphedeliste">
    <w:name w:val="List Paragraph"/>
    <w:basedOn w:val="Normal"/>
    <w:uiPriority w:val="34"/>
    <w:qFormat/>
    <w:rsid w:val="00CA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dia\Lidia\Recherche%20Lidia\Projet%20ESBL%20Ville\NetLogo\Results\Model_23_calibration_article\sensitivity%20analysis%202\univariate%20sa\Result_varied_background%20colon_index_moth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dia\Lidia\Recherche%20Lidia\Projet%20ESBL%20Ville\NetLogo\Results\Model_23_calibration_article\sensitivity%20analysis%202\univariate%20sa\Result_article_varied_background%20colon_index_moth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base case with varied proba b.colon </c:v>
          </c:tx>
          <c:spPr>
            <a:solidFill>
              <a:schemeClr val="accent1"/>
            </a:solidFill>
            <a:ln>
              <a:noFill/>
            </a:ln>
            <a:effectLst/>
          </c:spPr>
          <c:invertIfNegative val="0"/>
          <c:cat>
            <c:numRef>
              <c:f>Feuil1!$B$2:$B$51</c:f>
              <c:numCache>
                <c:formatCode>0.000000</c:formatCode>
                <c:ptCount val="50"/>
                <c:pt idx="0" formatCode="0.00000">
                  <c:v>1E-4</c:v>
                </c:pt>
                <c:pt idx="1">
                  <c:v>2.1191919191919199E-3</c:v>
                </c:pt>
                <c:pt idx="2" formatCode="0.000">
                  <c:v>4.1383838383838396E-3</c:v>
                </c:pt>
                <c:pt idx="3" formatCode="0.000">
                  <c:v>6.1575757575757601E-3</c:v>
                </c:pt>
                <c:pt idx="4" formatCode="0.000">
                  <c:v>8.1767676767676798E-3</c:v>
                </c:pt>
                <c:pt idx="5" formatCode="0.000">
                  <c:v>1.01959595959596E-2</c:v>
                </c:pt>
                <c:pt idx="6" formatCode="0.000">
                  <c:v>1.22151515151515E-2</c:v>
                </c:pt>
                <c:pt idx="7" formatCode="0.000">
                  <c:v>1.42343434343434E-2</c:v>
                </c:pt>
                <c:pt idx="8" formatCode="0.000">
                  <c:v>1.6253535353535398E-2</c:v>
                </c:pt>
                <c:pt idx="9" formatCode="0.000">
                  <c:v>1.8272727272727302E-2</c:v>
                </c:pt>
                <c:pt idx="10" formatCode="0.000">
                  <c:v>2.0291919191919201E-2</c:v>
                </c:pt>
                <c:pt idx="11" formatCode="0.000">
                  <c:v>2.2311111111111101E-2</c:v>
                </c:pt>
                <c:pt idx="12" formatCode="0.000">
                  <c:v>2.4330303030303001E-2</c:v>
                </c:pt>
                <c:pt idx="13" formatCode="0.000">
                  <c:v>2.63494949494949E-2</c:v>
                </c:pt>
                <c:pt idx="14" formatCode="0.000">
                  <c:v>2.8368686868686901E-2</c:v>
                </c:pt>
                <c:pt idx="15" formatCode="0.000">
                  <c:v>3.0387878787878801E-2</c:v>
                </c:pt>
                <c:pt idx="16" formatCode="0.000">
                  <c:v>3.2407070707070697E-2</c:v>
                </c:pt>
                <c:pt idx="17" formatCode="0.000">
                  <c:v>3.4426262626262603E-2</c:v>
                </c:pt>
                <c:pt idx="18" formatCode="0.000">
                  <c:v>3.64454545454546E-2</c:v>
                </c:pt>
                <c:pt idx="19" formatCode="0.000">
                  <c:v>3.84646464646465E-2</c:v>
                </c:pt>
                <c:pt idx="20" formatCode="0.000">
                  <c:v>4.04838383838384E-2</c:v>
                </c:pt>
                <c:pt idx="21" formatCode="0.000">
                  <c:v>4.2503030303030299E-2</c:v>
                </c:pt>
                <c:pt idx="22" formatCode="0.000">
                  <c:v>4.4522222222222199E-2</c:v>
                </c:pt>
                <c:pt idx="23" formatCode="0.000">
                  <c:v>4.6541414141414099E-2</c:v>
                </c:pt>
                <c:pt idx="24" formatCode="0.000">
                  <c:v>4.8560606060606103E-2</c:v>
                </c:pt>
                <c:pt idx="25" formatCode="0.000">
                  <c:v>5.0579797979798002E-2</c:v>
                </c:pt>
                <c:pt idx="26" formatCode="0.000">
                  <c:v>5.2598989898989902E-2</c:v>
                </c:pt>
                <c:pt idx="27" formatCode="0.000">
                  <c:v>5.4618181818181802E-2</c:v>
                </c:pt>
                <c:pt idx="28" formatCode="0.000">
                  <c:v>5.6637373737373702E-2</c:v>
                </c:pt>
                <c:pt idx="29" formatCode="0.000">
                  <c:v>5.8656565656565698E-2</c:v>
                </c:pt>
                <c:pt idx="30" formatCode="0.000">
                  <c:v>6.0675757575757598E-2</c:v>
                </c:pt>
                <c:pt idx="31" formatCode="0.000">
                  <c:v>6.2694949494949498E-2</c:v>
                </c:pt>
                <c:pt idx="32" formatCode="0.000">
                  <c:v>6.4714141414141405E-2</c:v>
                </c:pt>
                <c:pt idx="33" formatCode="0.000">
                  <c:v>6.6733333333333297E-2</c:v>
                </c:pt>
                <c:pt idx="34" formatCode="0.000">
                  <c:v>6.8752525252525301E-2</c:v>
                </c:pt>
                <c:pt idx="35" formatCode="0.000">
                  <c:v>7.0771717171717194E-2</c:v>
                </c:pt>
                <c:pt idx="36" formatCode="0.000">
                  <c:v>7.2790909090909101E-2</c:v>
                </c:pt>
                <c:pt idx="37" formatCode="0.000">
                  <c:v>7.4810101010100993E-2</c:v>
                </c:pt>
                <c:pt idx="38" formatCode="0.000">
                  <c:v>7.68292929292929E-2</c:v>
                </c:pt>
                <c:pt idx="39" formatCode="0.000">
                  <c:v>7.8848484848484807E-2</c:v>
                </c:pt>
                <c:pt idx="40" formatCode="0.000">
                  <c:v>8.0867676767676797E-2</c:v>
                </c:pt>
                <c:pt idx="41" formatCode="0.000">
                  <c:v>8.2886868686868703E-2</c:v>
                </c:pt>
                <c:pt idx="42" formatCode="0.000">
                  <c:v>8.4906060606060596E-2</c:v>
                </c:pt>
                <c:pt idx="43" formatCode="0.000">
                  <c:v>8.6925252525252503E-2</c:v>
                </c:pt>
                <c:pt idx="44" formatCode="0.000">
                  <c:v>8.8944444444444506E-2</c:v>
                </c:pt>
                <c:pt idx="45" formatCode="0.000">
                  <c:v>9.0963636363636399E-2</c:v>
                </c:pt>
                <c:pt idx="46" formatCode="0.000">
                  <c:v>9.2982828282828306E-2</c:v>
                </c:pt>
                <c:pt idx="47" formatCode="0.000">
                  <c:v>9.5002020202020199E-2</c:v>
                </c:pt>
                <c:pt idx="48" formatCode="0.000">
                  <c:v>9.7021212121212105E-2</c:v>
                </c:pt>
                <c:pt idx="49" formatCode="0.000">
                  <c:v>9.9040404040403998E-2</c:v>
                </c:pt>
              </c:numCache>
            </c:numRef>
          </c:cat>
          <c:val>
            <c:numRef>
              <c:f>Feuil1!$C$2:$C$51</c:f>
              <c:numCache>
                <c:formatCode>General</c:formatCode>
                <c:ptCount val="50"/>
                <c:pt idx="0">
                  <c:v>0.656266666666667</c:v>
                </c:pt>
                <c:pt idx="1">
                  <c:v>0.72603333333333298</c:v>
                </c:pt>
                <c:pt idx="2">
                  <c:v>0.75680000000000003</c:v>
                </c:pt>
                <c:pt idx="3">
                  <c:v>0.76753333333333296</c:v>
                </c:pt>
                <c:pt idx="4">
                  <c:v>0.77829999999999999</c:v>
                </c:pt>
                <c:pt idx="5">
                  <c:v>0.78690000000000004</c:v>
                </c:pt>
                <c:pt idx="6">
                  <c:v>0.78876666666666695</c:v>
                </c:pt>
                <c:pt idx="7">
                  <c:v>0.79520000000000002</c:v>
                </c:pt>
                <c:pt idx="8">
                  <c:v>0.79863333333333297</c:v>
                </c:pt>
                <c:pt idx="9">
                  <c:v>0.79716666666666702</c:v>
                </c:pt>
                <c:pt idx="10">
                  <c:v>0.79626666666666701</c:v>
                </c:pt>
                <c:pt idx="11">
                  <c:v>0.79596666666666704</c:v>
                </c:pt>
                <c:pt idx="12">
                  <c:v>0.79179999999999995</c:v>
                </c:pt>
                <c:pt idx="13">
                  <c:v>0.79213333333333302</c:v>
                </c:pt>
                <c:pt idx="14">
                  <c:v>0.78256666666666697</c:v>
                </c:pt>
                <c:pt idx="15">
                  <c:v>0.78366666666666696</c:v>
                </c:pt>
                <c:pt idx="16">
                  <c:v>0.77639999999999998</c:v>
                </c:pt>
                <c:pt idx="17">
                  <c:v>0.76886666666666703</c:v>
                </c:pt>
                <c:pt idx="18">
                  <c:v>0.76133333333333297</c:v>
                </c:pt>
                <c:pt idx="19">
                  <c:v>0.7591</c:v>
                </c:pt>
                <c:pt idx="20">
                  <c:v>0.74466666666666703</c:v>
                </c:pt>
                <c:pt idx="21">
                  <c:v>0.73899999999999999</c:v>
                </c:pt>
                <c:pt idx="22">
                  <c:v>0.73260000000000003</c:v>
                </c:pt>
                <c:pt idx="23">
                  <c:v>0.72273333333333301</c:v>
                </c:pt>
                <c:pt idx="24">
                  <c:v>0.718766666666667</c:v>
                </c:pt>
                <c:pt idx="25">
                  <c:v>0.71150000000000002</c:v>
                </c:pt>
                <c:pt idx="26">
                  <c:v>0.70313333333333305</c:v>
                </c:pt>
                <c:pt idx="27">
                  <c:v>0.69423333333333304</c:v>
                </c:pt>
                <c:pt idx="28">
                  <c:v>0.68866666666666698</c:v>
                </c:pt>
                <c:pt idx="29">
                  <c:v>0.67803333333333304</c:v>
                </c:pt>
                <c:pt idx="30">
                  <c:v>0.66743333333333299</c:v>
                </c:pt>
                <c:pt idx="31">
                  <c:v>0.65873333333333295</c:v>
                </c:pt>
                <c:pt idx="32">
                  <c:v>0.65900000000000003</c:v>
                </c:pt>
                <c:pt idx="33">
                  <c:v>0.6492</c:v>
                </c:pt>
                <c:pt idx="34">
                  <c:v>0.64400000000000002</c:v>
                </c:pt>
                <c:pt idx="35">
                  <c:v>0.63123333333333298</c:v>
                </c:pt>
                <c:pt idx="36">
                  <c:v>0.62239999999999995</c:v>
                </c:pt>
                <c:pt idx="37">
                  <c:v>0.61833333333333296</c:v>
                </c:pt>
                <c:pt idx="38">
                  <c:v>0.61099999999999999</c:v>
                </c:pt>
                <c:pt idx="39">
                  <c:v>0.60043333333333304</c:v>
                </c:pt>
                <c:pt idx="40">
                  <c:v>0.59770000000000001</c:v>
                </c:pt>
                <c:pt idx="41">
                  <c:v>0.59633333333333305</c:v>
                </c:pt>
                <c:pt idx="42">
                  <c:v>0.58376666666666699</c:v>
                </c:pt>
                <c:pt idx="43">
                  <c:v>0.57876666666666698</c:v>
                </c:pt>
                <c:pt idx="44">
                  <c:v>0.57276666666666698</c:v>
                </c:pt>
                <c:pt idx="45">
                  <c:v>0.56223333333333303</c:v>
                </c:pt>
                <c:pt idx="46">
                  <c:v>0.55820000000000003</c:v>
                </c:pt>
                <c:pt idx="47">
                  <c:v>0.55683333333333296</c:v>
                </c:pt>
                <c:pt idx="48">
                  <c:v>0.54763333333333297</c:v>
                </c:pt>
                <c:pt idx="49">
                  <c:v>0.538266666666667</c:v>
                </c:pt>
              </c:numCache>
            </c:numRef>
          </c:val>
          <c:extLst>
            <c:ext xmlns:c16="http://schemas.microsoft.com/office/drawing/2014/chart" uri="{C3380CC4-5D6E-409C-BE32-E72D297353CC}">
              <c16:uniqueId val="{00000000-7BFF-4A8E-AF13-BEA39FBE9BFF}"/>
            </c:ext>
          </c:extLst>
        </c:ser>
        <c:ser>
          <c:idx val="2"/>
          <c:order val="1"/>
          <c:tx>
            <c:v>base case</c:v>
          </c:tx>
          <c:spPr>
            <a:solidFill>
              <a:srgbClr val="FF0000"/>
            </a:solidFill>
            <a:ln>
              <a:solidFill>
                <a:srgbClr val="FF0000"/>
              </a:solidFill>
            </a:ln>
            <a:effectLst/>
          </c:spPr>
          <c:invertIfNegative val="0"/>
          <c:cat>
            <c:numRef>
              <c:f>Feuil1!$B$2:$B$51</c:f>
              <c:numCache>
                <c:formatCode>0.000000</c:formatCode>
                <c:ptCount val="50"/>
                <c:pt idx="0" formatCode="0.00000">
                  <c:v>1E-4</c:v>
                </c:pt>
                <c:pt idx="1">
                  <c:v>2.1191919191919199E-3</c:v>
                </c:pt>
                <c:pt idx="2" formatCode="0.000">
                  <c:v>4.1383838383838396E-3</c:v>
                </c:pt>
                <c:pt idx="3" formatCode="0.000">
                  <c:v>6.1575757575757601E-3</c:v>
                </c:pt>
                <c:pt idx="4" formatCode="0.000">
                  <c:v>8.1767676767676798E-3</c:v>
                </c:pt>
                <c:pt idx="5" formatCode="0.000">
                  <c:v>1.01959595959596E-2</c:v>
                </c:pt>
                <c:pt idx="6" formatCode="0.000">
                  <c:v>1.22151515151515E-2</c:v>
                </c:pt>
                <c:pt idx="7" formatCode="0.000">
                  <c:v>1.42343434343434E-2</c:v>
                </c:pt>
                <c:pt idx="8" formatCode="0.000">
                  <c:v>1.6253535353535398E-2</c:v>
                </c:pt>
                <c:pt idx="9" formatCode="0.000">
                  <c:v>1.8272727272727302E-2</c:v>
                </c:pt>
                <c:pt idx="10" formatCode="0.000">
                  <c:v>2.0291919191919201E-2</c:v>
                </c:pt>
                <c:pt idx="11" formatCode="0.000">
                  <c:v>2.2311111111111101E-2</c:v>
                </c:pt>
                <c:pt idx="12" formatCode="0.000">
                  <c:v>2.4330303030303001E-2</c:v>
                </c:pt>
                <c:pt idx="13" formatCode="0.000">
                  <c:v>2.63494949494949E-2</c:v>
                </c:pt>
                <c:pt idx="14" formatCode="0.000">
                  <c:v>2.8368686868686901E-2</c:v>
                </c:pt>
                <c:pt idx="15" formatCode="0.000">
                  <c:v>3.0387878787878801E-2</c:v>
                </c:pt>
                <c:pt idx="16" formatCode="0.000">
                  <c:v>3.2407070707070697E-2</c:v>
                </c:pt>
                <c:pt idx="17" formatCode="0.000">
                  <c:v>3.4426262626262603E-2</c:v>
                </c:pt>
                <c:pt idx="18" formatCode="0.000">
                  <c:v>3.64454545454546E-2</c:v>
                </c:pt>
                <c:pt idx="19" formatCode="0.000">
                  <c:v>3.84646464646465E-2</c:v>
                </c:pt>
                <c:pt idx="20" formatCode="0.000">
                  <c:v>4.04838383838384E-2</c:v>
                </c:pt>
                <c:pt idx="21" formatCode="0.000">
                  <c:v>4.2503030303030299E-2</c:v>
                </c:pt>
                <c:pt idx="22" formatCode="0.000">
                  <c:v>4.4522222222222199E-2</c:v>
                </c:pt>
                <c:pt idx="23" formatCode="0.000">
                  <c:v>4.6541414141414099E-2</c:v>
                </c:pt>
                <c:pt idx="24" formatCode="0.000">
                  <c:v>4.8560606060606103E-2</c:v>
                </c:pt>
                <c:pt idx="25" formatCode="0.000">
                  <c:v>5.0579797979798002E-2</c:v>
                </c:pt>
                <c:pt idx="26" formatCode="0.000">
                  <c:v>5.2598989898989902E-2</c:v>
                </c:pt>
                <c:pt idx="27" formatCode="0.000">
                  <c:v>5.4618181818181802E-2</c:v>
                </c:pt>
                <c:pt idx="28" formatCode="0.000">
                  <c:v>5.6637373737373702E-2</c:v>
                </c:pt>
                <c:pt idx="29" formatCode="0.000">
                  <c:v>5.8656565656565698E-2</c:v>
                </c:pt>
                <c:pt idx="30" formatCode="0.000">
                  <c:v>6.0675757575757598E-2</c:v>
                </c:pt>
                <c:pt idx="31" formatCode="0.000">
                  <c:v>6.2694949494949498E-2</c:v>
                </c:pt>
                <c:pt idx="32" formatCode="0.000">
                  <c:v>6.4714141414141405E-2</c:v>
                </c:pt>
                <c:pt idx="33" formatCode="0.000">
                  <c:v>6.6733333333333297E-2</c:v>
                </c:pt>
                <c:pt idx="34" formatCode="0.000">
                  <c:v>6.8752525252525301E-2</c:v>
                </c:pt>
                <c:pt idx="35" formatCode="0.000">
                  <c:v>7.0771717171717194E-2</c:v>
                </c:pt>
                <c:pt idx="36" formatCode="0.000">
                  <c:v>7.2790909090909101E-2</c:v>
                </c:pt>
                <c:pt idx="37" formatCode="0.000">
                  <c:v>7.4810101010100993E-2</c:v>
                </c:pt>
                <c:pt idx="38" formatCode="0.000">
                  <c:v>7.68292929292929E-2</c:v>
                </c:pt>
                <c:pt idx="39" formatCode="0.000">
                  <c:v>7.8848484848484807E-2</c:v>
                </c:pt>
                <c:pt idx="40" formatCode="0.000">
                  <c:v>8.0867676767676797E-2</c:v>
                </c:pt>
                <c:pt idx="41" formatCode="0.000">
                  <c:v>8.2886868686868703E-2</c:v>
                </c:pt>
                <c:pt idx="42" formatCode="0.000">
                  <c:v>8.4906060606060596E-2</c:v>
                </c:pt>
                <c:pt idx="43" formatCode="0.000">
                  <c:v>8.6925252525252503E-2</c:v>
                </c:pt>
                <c:pt idx="44" formatCode="0.000">
                  <c:v>8.8944444444444506E-2</c:v>
                </c:pt>
                <c:pt idx="45" formatCode="0.000">
                  <c:v>9.0963636363636399E-2</c:v>
                </c:pt>
                <c:pt idx="46" formatCode="0.000">
                  <c:v>9.2982828282828306E-2</c:v>
                </c:pt>
                <c:pt idx="47" formatCode="0.000">
                  <c:v>9.5002020202020199E-2</c:v>
                </c:pt>
                <c:pt idx="48" formatCode="0.000">
                  <c:v>9.7021212121212105E-2</c:v>
                </c:pt>
                <c:pt idx="49" formatCode="0.000">
                  <c:v>9.9040404040403998E-2</c:v>
                </c:pt>
              </c:numCache>
            </c:numRef>
          </c:cat>
          <c:val>
            <c:numRef>
              <c:f>Feuil1!$J$2</c:f>
              <c:numCache>
                <c:formatCode>General</c:formatCode>
                <c:ptCount val="1"/>
                <c:pt idx="0">
                  <c:v>0.65800000000000003</c:v>
                </c:pt>
              </c:numCache>
            </c:numRef>
          </c:val>
          <c:extLst>
            <c:ext xmlns:c16="http://schemas.microsoft.com/office/drawing/2014/chart" uri="{C3380CC4-5D6E-409C-BE32-E72D297353CC}">
              <c16:uniqueId val="{00000001-7BFF-4A8E-AF13-BEA39FBE9BFF}"/>
            </c:ext>
          </c:extLst>
        </c:ser>
        <c:dLbls>
          <c:showLegendKey val="0"/>
          <c:showVal val="0"/>
          <c:showCatName val="0"/>
          <c:showSerName val="0"/>
          <c:showPercent val="0"/>
          <c:showBubbleSize val="0"/>
        </c:dLbls>
        <c:gapWidth val="219"/>
        <c:overlap val="-27"/>
        <c:axId val="288810928"/>
        <c:axId val="288811256"/>
      </c:barChart>
      <c:catAx>
        <c:axId val="288810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Daily probability of background colonisation </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811256"/>
        <c:crosses val="autoZero"/>
        <c:auto val="1"/>
        <c:lblAlgn val="ctr"/>
        <c:lblOffset val="100"/>
        <c:noMultiLvlLbl val="0"/>
      </c:catAx>
      <c:valAx>
        <c:axId val="288811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Probability of ESBL-EC acquisition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81092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base case</c:v>
          </c:tx>
          <c:spPr>
            <a:solidFill>
              <a:schemeClr val="accent6"/>
            </a:solidFill>
            <a:ln>
              <a:solidFill>
                <a:schemeClr val="accent6"/>
              </a:solidFill>
            </a:ln>
            <a:effectLst/>
          </c:spPr>
          <c:invertIfNegative val="0"/>
          <c:cat>
            <c:numRef>
              <c:f>Feuil1!$B$3:$B$52</c:f>
              <c:numCache>
                <c:formatCode>0.000000</c:formatCode>
                <c:ptCount val="50"/>
                <c:pt idx="0" formatCode="0.00000">
                  <c:v>1E-4</c:v>
                </c:pt>
                <c:pt idx="1">
                  <c:v>2.1191919191919199E-3</c:v>
                </c:pt>
                <c:pt idx="2" formatCode="0.000">
                  <c:v>4.1383838383838396E-3</c:v>
                </c:pt>
                <c:pt idx="3" formatCode="0.000">
                  <c:v>6.1575757575757601E-3</c:v>
                </c:pt>
                <c:pt idx="4" formatCode="0.000">
                  <c:v>8.1767676767676798E-3</c:v>
                </c:pt>
                <c:pt idx="5" formatCode="0.000">
                  <c:v>1.01959595959596E-2</c:v>
                </c:pt>
                <c:pt idx="6" formatCode="0.000">
                  <c:v>1.22151515151515E-2</c:v>
                </c:pt>
                <c:pt idx="7" formatCode="0.000">
                  <c:v>1.42343434343434E-2</c:v>
                </c:pt>
                <c:pt idx="8" formatCode="0.000">
                  <c:v>1.6253535353535398E-2</c:v>
                </c:pt>
                <c:pt idx="9" formatCode="0.000">
                  <c:v>1.8272727272727302E-2</c:v>
                </c:pt>
                <c:pt idx="10" formatCode="0.000">
                  <c:v>2.0291919191919201E-2</c:v>
                </c:pt>
                <c:pt idx="11" formatCode="0.000">
                  <c:v>2.2311111111111101E-2</c:v>
                </c:pt>
                <c:pt idx="12" formatCode="0.000">
                  <c:v>2.4330303030303001E-2</c:v>
                </c:pt>
                <c:pt idx="13" formatCode="0.000">
                  <c:v>2.63494949494949E-2</c:v>
                </c:pt>
                <c:pt idx="14" formatCode="0.000">
                  <c:v>2.8368686868686901E-2</c:v>
                </c:pt>
                <c:pt idx="15" formatCode="0.000">
                  <c:v>3.0387878787878801E-2</c:v>
                </c:pt>
                <c:pt idx="16" formatCode="0.000">
                  <c:v>3.2407070707070697E-2</c:v>
                </c:pt>
                <c:pt idx="17" formatCode="0.000">
                  <c:v>3.4426262626262603E-2</c:v>
                </c:pt>
                <c:pt idx="18" formatCode="0.000">
                  <c:v>3.64454545454546E-2</c:v>
                </c:pt>
                <c:pt idx="19" formatCode="0.000">
                  <c:v>3.84646464646465E-2</c:v>
                </c:pt>
                <c:pt idx="20" formatCode="0.000">
                  <c:v>4.04838383838384E-2</c:v>
                </c:pt>
                <c:pt idx="21" formatCode="0.000">
                  <c:v>4.2503030303030299E-2</c:v>
                </c:pt>
                <c:pt idx="22" formatCode="0.000">
                  <c:v>4.4522222222222199E-2</c:v>
                </c:pt>
                <c:pt idx="23" formatCode="0.000">
                  <c:v>4.6541414141414099E-2</c:v>
                </c:pt>
                <c:pt idx="24" formatCode="0.000">
                  <c:v>4.8560606060606103E-2</c:v>
                </c:pt>
                <c:pt idx="25" formatCode="0.000">
                  <c:v>5.0579797979798002E-2</c:v>
                </c:pt>
                <c:pt idx="26" formatCode="0.000">
                  <c:v>5.2598989898989902E-2</c:v>
                </c:pt>
                <c:pt idx="27" formatCode="0.000">
                  <c:v>5.4618181818181802E-2</c:v>
                </c:pt>
                <c:pt idx="28" formatCode="0.000">
                  <c:v>5.6637373737373702E-2</c:v>
                </c:pt>
                <c:pt idx="29" formatCode="0.000">
                  <c:v>5.8656565656565698E-2</c:v>
                </c:pt>
                <c:pt idx="30" formatCode="0.000">
                  <c:v>6.0675757575757598E-2</c:v>
                </c:pt>
                <c:pt idx="31" formatCode="0.000">
                  <c:v>6.2694949494949498E-2</c:v>
                </c:pt>
                <c:pt idx="32" formatCode="0.000">
                  <c:v>6.4714141414141405E-2</c:v>
                </c:pt>
                <c:pt idx="33" formatCode="0.000">
                  <c:v>6.6733333333333297E-2</c:v>
                </c:pt>
                <c:pt idx="34" formatCode="0.000">
                  <c:v>6.8752525252525301E-2</c:v>
                </c:pt>
                <c:pt idx="35" formatCode="0.000">
                  <c:v>7.0771717171717194E-2</c:v>
                </c:pt>
                <c:pt idx="36" formatCode="0.000">
                  <c:v>7.2790909090909101E-2</c:v>
                </c:pt>
                <c:pt idx="37" formatCode="0.000">
                  <c:v>7.4810101010100993E-2</c:v>
                </c:pt>
                <c:pt idx="38" formatCode="0.000">
                  <c:v>7.68292929292929E-2</c:v>
                </c:pt>
                <c:pt idx="39" formatCode="0.000">
                  <c:v>7.8848484848484807E-2</c:v>
                </c:pt>
                <c:pt idx="40" formatCode="0.000">
                  <c:v>8.0867676767676797E-2</c:v>
                </c:pt>
                <c:pt idx="41" formatCode="0.000">
                  <c:v>8.2886868686868703E-2</c:v>
                </c:pt>
                <c:pt idx="42" formatCode="0.000">
                  <c:v>8.4906060606060596E-2</c:v>
                </c:pt>
                <c:pt idx="43" formatCode="0.000">
                  <c:v>8.6925252525252503E-2</c:v>
                </c:pt>
                <c:pt idx="44" formatCode="0.000">
                  <c:v>8.8944444444444506E-2</c:v>
                </c:pt>
                <c:pt idx="45" formatCode="0.000">
                  <c:v>9.0963636363636399E-2</c:v>
                </c:pt>
                <c:pt idx="46" formatCode="0.000">
                  <c:v>9.2982828282828306E-2</c:v>
                </c:pt>
                <c:pt idx="47" formatCode="0.000">
                  <c:v>9.5002020202020199E-2</c:v>
                </c:pt>
                <c:pt idx="48" formatCode="0.000">
                  <c:v>9.7021212121212105E-2</c:v>
                </c:pt>
                <c:pt idx="49" formatCode="0.000">
                  <c:v>9.9040404040403998E-2</c:v>
                </c:pt>
              </c:numCache>
            </c:numRef>
          </c:cat>
          <c:val>
            <c:numRef>
              <c:f>Feuil1!$D$3:$D$52</c:f>
              <c:numCache>
                <c:formatCode>General</c:formatCode>
                <c:ptCount val="50"/>
                <c:pt idx="0">
                  <c:v>187.7826</c:v>
                </c:pt>
                <c:pt idx="1">
                  <c:v>229.69376666666699</c:v>
                </c:pt>
                <c:pt idx="2">
                  <c:v>254.226333333333</c:v>
                </c:pt>
                <c:pt idx="3">
                  <c:v>271.295633333333</c:v>
                </c:pt>
                <c:pt idx="4">
                  <c:v>284.44843333333301</c:v>
                </c:pt>
                <c:pt idx="5">
                  <c:v>295.22816666666699</c:v>
                </c:pt>
                <c:pt idx="6">
                  <c:v>302.97370000000001</c:v>
                </c:pt>
                <c:pt idx="7">
                  <c:v>310.92660000000001</c:v>
                </c:pt>
                <c:pt idx="8">
                  <c:v>316.52379999999999</c:v>
                </c:pt>
                <c:pt idx="9">
                  <c:v>322.25049999999999</c:v>
                </c:pt>
                <c:pt idx="10">
                  <c:v>326.44733333333301</c:v>
                </c:pt>
                <c:pt idx="11">
                  <c:v>330.23469999999998</c:v>
                </c:pt>
                <c:pt idx="12">
                  <c:v>334.72489999999999</c:v>
                </c:pt>
                <c:pt idx="13">
                  <c:v>337.33269999999999</c:v>
                </c:pt>
                <c:pt idx="14">
                  <c:v>339.77186666666699</c:v>
                </c:pt>
                <c:pt idx="15">
                  <c:v>342.08853333333298</c:v>
                </c:pt>
                <c:pt idx="16">
                  <c:v>343.99136666666698</c:v>
                </c:pt>
                <c:pt idx="17">
                  <c:v>345.55053333333302</c:v>
                </c:pt>
                <c:pt idx="18">
                  <c:v>346.82613333333302</c:v>
                </c:pt>
                <c:pt idx="19">
                  <c:v>348.31313333333298</c:v>
                </c:pt>
                <c:pt idx="20">
                  <c:v>349.10786666666701</c:v>
                </c:pt>
                <c:pt idx="21">
                  <c:v>350.15333333333302</c:v>
                </c:pt>
                <c:pt idx="22">
                  <c:v>350.31346666666701</c:v>
                </c:pt>
                <c:pt idx="23">
                  <c:v>351.74013333333301</c:v>
                </c:pt>
                <c:pt idx="24">
                  <c:v>352.033633333333</c:v>
                </c:pt>
                <c:pt idx="25">
                  <c:v>352.62090000000001</c:v>
                </c:pt>
                <c:pt idx="26">
                  <c:v>353.39033333333299</c:v>
                </c:pt>
                <c:pt idx="27">
                  <c:v>354.10396666666702</c:v>
                </c:pt>
                <c:pt idx="28">
                  <c:v>353.85826666666702</c:v>
                </c:pt>
                <c:pt idx="29">
                  <c:v>355.24939999999998</c:v>
                </c:pt>
                <c:pt idx="30">
                  <c:v>355.27480000000003</c:v>
                </c:pt>
                <c:pt idx="31">
                  <c:v>355.32156666666702</c:v>
                </c:pt>
                <c:pt idx="32">
                  <c:v>355.85809999999998</c:v>
                </c:pt>
                <c:pt idx="33">
                  <c:v>355.73663333333297</c:v>
                </c:pt>
                <c:pt idx="34">
                  <c:v>356.56110000000001</c:v>
                </c:pt>
                <c:pt idx="35">
                  <c:v>355.97666666666697</c:v>
                </c:pt>
                <c:pt idx="36">
                  <c:v>356.79866666666697</c:v>
                </c:pt>
                <c:pt idx="37">
                  <c:v>356.96839999999997</c:v>
                </c:pt>
                <c:pt idx="38">
                  <c:v>357.534766666667</c:v>
                </c:pt>
                <c:pt idx="39">
                  <c:v>357.46</c:v>
                </c:pt>
                <c:pt idx="40">
                  <c:v>357.591133333333</c:v>
                </c:pt>
                <c:pt idx="41">
                  <c:v>357.94726666666702</c:v>
                </c:pt>
                <c:pt idx="42">
                  <c:v>357.26339999999999</c:v>
                </c:pt>
                <c:pt idx="43">
                  <c:v>358.32193333333299</c:v>
                </c:pt>
                <c:pt idx="44">
                  <c:v>358.31993333333298</c:v>
                </c:pt>
                <c:pt idx="45">
                  <c:v>357.96146666666698</c:v>
                </c:pt>
                <c:pt idx="46">
                  <c:v>358.48346666666703</c:v>
                </c:pt>
                <c:pt idx="47">
                  <c:v>358.249666666667</c:v>
                </c:pt>
                <c:pt idx="48">
                  <c:v>358.38593333333301</c:v>
                </c:pt>
                <c:pt idx="49">
                  <c:v>358.53750000000002</c:v>
                </c:pt>
              </c:numCache>
            </c:numRef>
          </c:val>
          <c:extLst>
            <c:ext xmlns:c16="http://schemas.microsoft.com/office/drawing/2014/chart" uri="{C3380CC4-5D6E-409C-BE32-E72D297353CC}">
              <c16:uniqueId val="{00000000-E49D-4130-8560-74E02DC5AF1D}"/>
            </c:ext>
          </c:extLst>
        </c:ser>
        <c:ser>
          <c:idx val="2"/>
          <c:order val="1"/>
          <c:tx>
            <c:v>base</c:v>
          </c:tx>
          <c:spPr>
            <a:solidFill>
              <a:srgbClr val="FF0000"/>
            </a:solidFill>
            <a:ln>
              <a:solidFill>
                <a:srgbClr val="FF0000"/>
              </a:solidFill>
            </a:ln>
            <a:effectLst/>
          </c:spPr>
          <c:invertIfNegative val="0"/>
          <c:cat>
            <c:numRef>
              <c:f>Feuil1!$B$3:$B$52</c:f>
              <c:numCache>
                <c:formatCode>0.000000</c:formatCode>
                <c:ptCount val="50"/>
                <c:pt idx="0" formatCode="0.00000">
                  <c:v>1E-4</c:v>
                </c:pt>
                <c:pt idx="1">
                  <c:v>2.1191919191919199E-3</c:v>
                </c:pt>
                <c:pt idx="2" formatCode="0.000">
                  <c:v>4.1383838383838396E-3</c:v>
                </c:pt>
                <c:pt idx="3" formatCode="0.000">
                  <c:v>6.1575757575757601E-3</c:v>
                </c:pt>
                <c:pt idx="4" formatCode="0.000">
                  <c:v>8.1767676767676798E-3</c:v>
                </c:pt>
                <c:pt idx="5" formatCode="0.000">
                  <c:v>1.01959595959596E-2</c:v>
                </c:pt>
                <c:pt idx="6" formatCode="0.000">
                  <c:v>1.22151515151515E-2</c:v>
                </c:pt>
                <c:pt idx="7" formatCode="0.000">
                  <c:v>1.42343434343434E-2</c:v>
                </c:pt>
                <c:pt idx="8" formatCode="0.000">
                  <c:v>1.6253535353535398E-2</c:v>
                </c:pt>
                <c:pt idx="9" formatCode="0.000">
                  <c:v>1.8272727272727302E-2</c:v>
                </c:pt>
                <c:pt idx="10" formatCode="0.000">
                  <c:v>2.0291919191919201E-2</c:v>
                </c:pt>
                <c:pt idx="11" formatCode="0.000">
                  <c:v>2.2311111111111101E-2</c:v>
                </c:pt>
                <c:pt idx="12" formatCode="0.000">
                  <c:v>2.4330303030303001E-2</c:v>
                </c:pt>
                <c:pt idx="13" formatCode="0.000">
                  <c:v>2.63494949494949E-2</c:v>
                </c:pt>
                <c:pt idx="14" formatCode="0.000">
                  <c:v>2.8368686868686901E-2</c:v>
                </c:pt>
                <c:pt idx="15" formatCode="0.000">
                  <c:v>3.0387878787878801E-2</c:v>
                </c:pt>
                <c:pt idx="16" formatCode="0.000">
                  <c:v>3.2407070707070697E-2</c:v>
                </c:pt>
                <c:pt idx="17" formatCode="0.000">
                  <c:v>3.4426262626262603E-2</c:v>
                </c:pt>
                <c:pt idx="18" formatCode="0.000">
                  <c:v>3.64454545454546E-2</c:v>
                </c:pt>
                <c:pt idx="19" formatCode="0.000">
                  <c:v>3.84646464646465E-2</c:v>
                </c:pt>
                <c:pt idx="20" formatCode="0.000">
                  <c:v>4.04838383838384E-2</c:v>
                </c:pt>
                <c:pt idx="21" formatCode="0.000">
                  <c:v>4.2503030303030299E-2</c:v>
                </c:pt>
                <c:pt idx="22" formatCode="0.000">
                  <c:v>4.4522222222222199E-2</c:v>
                </c:pt>
                <c:pt idx="23" formatCode="0.000">
                  <c:v>4.6541414141414099E-2</c:v>
                </c:pt>
                <c:pt idx="24" formatCode="0.000">
                  <c:v>4.8560606060606103E-2</c:v>
                </c:pt>
                <c:pt idx="25" formatCode="0.000">
                  <c:v>5.0579797979798002E-2</c:v>
                </c:pt>
                <c:pt idx="26" formatCode="0.000">
                  <c:v>5.2598989898989902E-2</c:v>
                </c:pt>
                <c:pt idx="27" formatCode="0.000">
                  <c:v>5.4618181818181802E-2</c:v>
                </c:pt>
                <c:pt idx="28" formatCode="0.000">
                  <c:v>5.6637373737373702E-2</c:v>
                </c:pt>
                <c:pt idx="29" formatCode="0.000">
                  <c:v>5.8656565656565698E-2</c:v>
                </c:pt>
                <c:pt idx="30" formatCode="0.000">
                  <c:v>6.0675757575757598E-2</c:v>
                </c:pt>
                <c:pt idx="31" formatCode="0.000">
                  <c:v>6.2694949494949498E-2</c:v>
                </c:pt>
                <c:pt idx="32" formatCode="0.000">
                  <c:v>6.4714141414141405E-2</c:v>
                </c:pt>
                <c:pt idx="33" formatCode="0.000">
                  <c:v>6.6733333333333297E-2</c:v>
                </c:pt>
                <c:pt idx="34" formatCode="0.000">
                  <c:v>6.8752525252525301E-2</c:v>
                </c:pt>
                <c:pt idx="35" formatCode="0.000">
                  <c:v>7.0771717171717194E-2</c:v>
                </c:pt>
                <c:pt idx="36" formatCode="0.000">
                  <c:v>7.2790909090909101E-2</c:v>
                </c:pt>
                <c:pt idx="37" formatCode="0.000">
                  <c:v>7.4810101010100993E-2</c:v>
                </c:pt>
                <c:pt idx="38" formatCode="0.000">
                  <c:v>7.68292929292929E-2</c:v>
                </c:pt>
                <c:pt idx="39" formatCode="0.000">
                  <c:v>7.8848484848484807E-2</c:v>
                </c:pt>
                <c:pt idx="40" formatCode="0.000">
                  <c:v>8.0867676767676797E-2</c:v>
                </c:pt>
                <c:pt idx="41" formatCode="0.000">
                  <c:v>8.2886868686868703E-2</c:v>
                </c:pt>
                <c:pt idx="42" formatCode="0.000">
                  <c:v>8.4906060606060596E-2</c:v>
                </c:pt>
                <c:pt idx="43" formatCode="0.000">
                  <c:v>8.6925252525252503E-2</c:v>
                </c:pt>
                <c:pt idx="44" formatCode="0.000">
                  <c:v>8.8944444444444506E-2</c:v>
                </c:pt>
                <c:pt idx="45" formatCode="0.000">
                  <c:v>9.0963636363636399E-2</c:v>
                </c:pt>
                <c:pt idx="46" formatCode="0.000">
                  <c:v>9.2982828282828306E-2</c:v>
                </c:pt>
                <c:pt idx="47" formatCode="0.000">
                  <c:v>9.5002020202020199E-2</c:v>
                </c:pt>
                <c:pt idx="48" formatCode="0.000">
                  <c:v>9.7021212121212105E-2</c:v>
                </c:pt>
                <c:pt idx="49" formatCode="0.000">
                  <c:v>9.9040404040403998E-2</c:v>
                </c:pt>
              </c:numCache>
            </c:numRef>
          </c:cat>
          <c:val>
            <c:numRef>
              <c:f>Feuil1!$O$3</c:f>
              <c:numCache>
                <c:formatCode>General</c:formatCode>
                <c:ptCount val="1"/>
                <c:pt idx="0">
                  <c:v>188.6</c:v>
                </c:pt>
              </c:numCache>
            </c:numRef>
          </c:val>
          <c:extLst>
            <c:ext xmlns:c16="http://schemas.microsoft.com/office/drawing/2014/chart" uri="{C3380CC4-5D6E-409C-BE32-E72D297353CC}">
              <c16:uniqueId val="{00000001-E49D-4130-8560-74E02DC5AF1D}"/>
            </c:ext>
          </c:extLst>
        </c:ser>
        <c:ser>
          <c:idx val="1"/>
          <c:order val="2"/>
          <c:tx>
            <c:v>HH 50%</c:v>
          </c:tx>
          <c:spPr>
            <a:solidFill>
              <a:schemeClr val="accent2">
                <a:lumMod val="60000"/>
                <a:lumOff val="40000"/>
              </a:schemeClr>
            </a:solidFill>
            <a:ln>
              <a:solidFill>
                <a:schemeClr val="accent2">
                  <a:lumMod val="40000"/>
                  <a:lumOff val="60000"/>
                </a:schemeClr>
              </a:solidFill>
            </a:ln>
            <a:effectLst/>
          </c:spPr>
          <c:invertIfNegative val="0"/>
          <c:cat>
            <c:numRef>
              <c:f>Feuil1!$B$3:$B$52</c:f>
              <c:numCache>
                <c:formatCode>0.000000</c:formatCode>
                <c:ptCount val="50"/>
                <c:pt idx="0" formatCode="0.00000">
                  <c:v>1E-4</c:v>
                </c:pt>
                <c:pt idx="1">
                  <c:v>2.1191919191919199E-3</c:v>
                </c:pt>
                <c:pt idx="2" formatCode="0.000">
                  <c:v>4.1383838383838396E-3</c:v>
                </c:pt>
                <c:pt idx="3" formatCode="0.000">
                  <c:v>6.1575757575757601E-3</c:v>
                </c:pt>
                <c:pt idx="4" formatCode="0.000">
                  <c:v>8.1767676767676798E-3</c:v>
                </c:pt>
                <c:pt idx="5" formatCode="0.000">
                  <c:v>1.01959595959596E-2</c:v>
                </c:pt>
                <c:pt idx="6" formatCode="0.000">
                  <c:v>1.22151515151515E-2</c:v>
                </c:pt>
                <c:pt idx="7" formatCode="0.000">
                  <c:v>1.42343434343434E-2</c:v>
                </c:pt>
                <c:pt idx="8" formatCode="0.000">
                  <c:v>1.6253535353535398E-2</c:v>
                </c:pt>
                <c:pt idx="9" formatCode="0.000">
                  <c:v>1.8272727272727302E-2</c:v>
                </c:pt>
                <c:pt idx="10" formatCode="0.000">
                  <c:v>2.0291919191919201E-2</c:v>
                </c:pt>
                <c:pt idx="11" formatCode="0.000">
                  <c:v>2.2311111111111101E-2</c:v>
                </c:pt>
                <c:pt idx="12" formatCode="0.000">
                  <c:v>2.4330303030303001E-2</c:v>
                </c:pt>
                <c:pt idx="13" formatCode="0.000">
                  <c:v>2.63494949494949E-2</c:v>
                </c:pt>
                <c:pt idx="14" formatCode="0.000">
                  <c:v>2.8368686868686901E-2</c:v>
                </c:pt>
                <c:pt idx="15" formatCode="0.000">
                  <c:v>3.0387878787878801E-2</c:v>
                </c:pt>
                <c:pt idx="16" formatCode="0.000">
                  <c:v>3.2407070707070697E-2</c:v>
                </c:pt>
                <c:pt idx="17" formatCode="0.000">
                  <c:v>3.4426262626262603E-2</c:v>
                </c:pt>
                <c:pt idx="18" formatCode="0.000">
                  <c:v>3.64454545454546E-2</c:v>
                </c:pt>
                <c:pt idx="19" formatCode="0.000">
                  <c:v>3.84646464646465E-2</c:v>
                </c:pt>
                <c:pt idx="20" formatCode="0.000">
                  <c:v>4.04838383838384E-2</c:v>
                </c:pt>
                <c:pt idx="21" formatCode="0.000">
                  <c:v>4.2503030303030299E-2</c:v>
                </c:pt>
                <c:pt idx="22" formatCode="0.000">
                  <c:v>4.4522222222222199E-2</c:v>
                </c:pt>
                <c:pt idx="23" formatCode="0.000">
                  <c:v>4.6541414141414099E-2</c:v>
                </c:pt>
                <c:pt idx="24" formatCode="0.000">
                  <c:v>4.8560606060606103E-2</c:v>
                </c:pt>
                <c:pt idx="25" formatCode="0.000">
                  <c:v>5.0579797979798002E-2</c:v>
                </c:pt>
                <c:pt idx="26" formatCode="0.000">
                  <c:v>5.2598989898989902E-2</c:v>
                </c:pt>
                <c:pt idx="27" formatCode="0.000">
                  <c:v>5.4618181818181802E-2</c:v>
                </c:pt>
                <c:pt idx="28" formatCode="0.000">
                  <c:v>5.6637373737373702E-2</c:v>
                </c:pt>
                <c:pt idx="29" formatCode="0.000">
                  <c:v>5.8656565656565698E-2</c:v>
                </c:pt>
                <c:pt idx="30" formatCode="0.000">
                  <c:v>6.0675757575757598E-2</c:v>
                </c:pt>
                <c:pt idx="31" formatCode="0.000">
                  <c:v>6.2694949494949498E-2</c:v>
                </c:pt>
                <c:pt idx="32" formatCode="0.000">
                  <c:v>6.4714141414141405E-2</c:v>
                </c:pt>
                <c:pt idx="33" formatCode="0.000">
                  <c:v>6.6733333333333297E-2</c:v>
                </c:pt>
                <c:pt idx="34" formatCode="0.000">
                  <c:v>6.8752525252525301E-2</c:v>
                </c:pt>
                <c:pt idx="35" formatCode="0.000">
                  <c:v>7.0771717171717194E-2</c:v>
                </c:pt>
                <c:pt idx="36" formatCode="0.000">
                  <c:v>7.2790909090909101E-2</c:v>
                </c:pt>
                <c:pt idx="37" formatCode="0.000">
                  <c:v>7.4810101010100993E-2</c:v>
                </c:pt>
                <c:pt idx="38" formatCode="0.000">
                  <c:v>7.68292929292929E-2</c:v>
                </c:pt>
                <c:pt idx="39" formatCode="0.000">
                  <c:v>7.8848484848484807E-2</c:v>
                </c:pt>
                <c:pt idx="40" formatCode="0.000">
                  <c:v>8.0867676767676797E-2</c:v>
                </c:pt>
                <c:pt idx="41" formatCode="0.000">
                  <c:v>8.2886868686868703E-2</c:v>
                </c:pt>
                <c:pt idx="42" formatCode="0.000">
                  <c:v>8.4906060606060596E-2</c:v>
                </c:pt>
                <c:pt idx="43" formatCode="0.000">
                  <c:v>8.6925252525252503E-2</c:v>
                </c:pt>
                <c:pt idx="44" formatCode="0.000">
                  <c:v>8.8944444444444506E-2</c:v>
                </c:pt>
                <c:pt idx="45" formatCode="0.000">
                  <c:v>9.0963636363636399E-2</c:v>
                </c:pt>
                <c:pt idx="46" formatCode="0.000">
                  <c:v>9.2982828282828306E-2</c:v>
                </c:pt>
                <c:pt idx="47" formatCode="0.000">
                  <c:v>9.5002020202020199E-2</c:v>
                </c:pt>
                <c:pt idx="48" formatCode="0.000">
                  <c:v>9.7021212121212105E-2</c:v>
                </c:pt>
                <c:pt idx="49" formatCode="0.000">
                  <c:v>9.9040404040403998E-2</c:v>
                </c:pt>
              </c:numCache>
            </c:numRef>
          </c:cat>
          <c:val>
            <c:numRef>
              <c:f>Feuil1!$H$3:$H$52</c:f>
              <c:numCache>
                <c:formatCode>General</c:formatCode>
                <c:ptCount val="50"/>
                <c:pt idx="0">
                  <c:v>138.86086666666699</c:v>
                </c:pt>
                <c:pt idx="1">
                  <c:v>169.25116666666699</c:v>
                </c:pt>
                <c:pt idx="2">
                  <c:v>195.745833333333</c:v>
                </c:pt>
                <c:pt idx="3">
                  <c:v>215.40600000000001</c:v>
                </c:pt>
                <c:pt idx="4">
                  <c:v>232.69323333333301</c:v>
                </c:pt>
                <c:pt idx="5">
                  <c:v>245.57040000000001</c:v>
                </c:pt>
                <c:pt idx="6">
                  <c:v>257.24596666666702</c:v>
                </c:pt>
                <c:pt idx="7">
                  <c:v>266.71570000000003</c:v>
                </c:pt>
                <c:pt idx="8">
                  <c:v>276.21600000000001</c:v>
                </c:pt>
                <c:pt idx="9">
                  <c:v>281.92546666666698</c:v>
                </c:pt>
                <c:pt idx="10">
                  <c:v>290.12763333333299</c:v>
                </c:pt>
                <c:pt idx="11">
                  <c:v>295.17630000000003</c:v>
                </c:pt>
                <c:pt idx="12">
                  <c:v>300.4323</c:v>
                </c:pt>
                <c:pt idx="13">
                  <c:v>305.82813333333303</c:v>
                </c:pt>
                <c:pt idx="14">
                  <c:v>310.01253333333301</c:v>
                </c:pt>
                <c:pt idx="15">
                  <c:v>312.83839999999998</c:v>
                </c:pt>
                <c:pt idx="16">
                  <c:v>318.24619999999999</c:v>
                </c:pt>
                <c:pt idx="17">
                  <c:v>320.16673333333301</c:v>
                </c:pt>
                <c:pt idx="18">
                  <c:v>323.04166666666703</c:v>
                </c:pt>
                <c:pt idx="19">
                  <c:v>325.67020000000002</c:v>
                </c:pt>
                <c:pt idx="20">
                  <c:v>327.621033333333</c:v>
                </c:pt>
                <c:pt idx="21">
                  <c:v>329.86293333333299</c:v>
                </c:pt>
                <c:pt idx="22">
                  <c:v>331.70676666666702</c:v>
                </c:pt>
                <c:pt idx="23">
                  <c:v>334.15839999999997</c:v>
                </c:pt>
                <c:pt idx="24">
                  <c:v>335.418833333333</c:v>
                </c:pt>
                <c:pt idx="25">
                  <c:v>337.254166666667</c:v>
                </c:pt>
                <c:pt idx="26">
                  <c:v>338.97019999999998</c:v>
                </c:pt>
                <c:pt idx="27">
                  <c:v>339.47423333333302</c:v>
                </c:pt>
                <c:pt idx="28">
                  <c:v>340.28493333333302</c:v>
                </c:pt>
                <c:pt idx="29">
                  <c:v>341.1105</c:v>
                </c:pt>
                <c:pt idx="30">
                  <c:v>342.78539999999998</c:v>
                </c:pt>
                <c:pt idx="31">
                  <c:v>343.195766666667</c:v>
                </c:pt>
                <c:pt idx="32">
                  <c:v>344.06483333333301</c:v>
                </c:pt>
                <c:pt idx="33">
                  <c:v>345.10629999999998</c:v>
                </c:pt>
                <c:pt idx="34">
                  <c:v>345.73183333333299</c:v>
                </c:pt>
                <c:pt idx="35">
                  <c:v>346.51850000000002</c:v>
                </c:pt>
                <c:pt idx="36">
                  <c:v>347.61393333333302</c:v>
                </c:pt>
                <c:pt idx="37">
                  <c:v>347.70690000000002</c:v>
                </c:pt>
                <c:pt idx="38">
                  <c:v>347.879166666667</c:v>
                </c:pt>
                <c:pt idx="39">
                  <c:v>348.84186666666699</c:v>
                </c:pt>
                <c:pt idx="40">
                  <c:v>348.736533333333</c:v>
                </c:pt>
                <c:pt idx="41">
                  <c:v>349.378266666667</c:v>
                </c:pt>
                <c:pt idx="42">
                  <c:v>350.46303333333299</c:v>
                </c:pt>
                <c:pt idx="43">
                  <c:v>350.04786666666701</c:v>
                </c:pt>
                <c:pt idx="44">
                  <c:v>350.09233333333299</c:v>
                </c:pt>
                <c:pt idx="45">
                  <c:v>351.20176666666703</c:v>
                </c:pt>
                <c:pt idx="46">
                  <c:v>351.96519999999998</c:v>
                </c:pt>
                <c:pt idx="47">
                  <c:v>351.796766666667</c:v>
                </c:pt>
                <c:pt idx="48">
                  <c:v>351.91576666666703</c:v>
                </c:pt>
                <c:pt idx="49">
                  <c:v>353.06540000000001</c:v>
                </c:pt>
              </c:numCache>
            </c:numRef>
          </c:val>
          <c:extLst>
            <c:ext xmlns:c16="http://schemas.microsoft.com/office/drawing/2014/chart" uri="{C3380CC4-5D6E-409C-BE32-E72D297353CC}">
              <c16:uniqueId val="{00000002-E49D-4130-8560-74E02DC5AF1D}"/>
            </c:ext>
          </c:extLst>
        </c:ser>
        <c:dLbls>
          <c:showLegendKey val="0"/>
          <c:showVal val="0"/>
          <c:showCatName val="0"/>
          <c:showSerName val="0"/>
          <c:showPercent val="0"/>
          <c:showBubbleSize val="0"/>
        </c:dLbls>
        <c:gapWidth val="219"/>
        <c:overlap val="-27"/>
        <c:axId val="287537568"/>
        <c:axId val="287534944"/>
      </c:barChart>
      <c:catAx>
        <c:axId val="287537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rPr>
                  <a:t>Daily probability of background colonisation</a:t>
                </a:r>
                <a:endParaRPr lang="fr-FR"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7534944"/>
        <c:crosses val="autoZero"/>
        <c:auto val="1"/>
        <c:lblAlgn val="ctr"/>
        <c:lblOffset val="100"/>
        <c:noMultiLvlLbl val="0"/>
      </c:catAx>
      <c:valAx>
        <c:axId val="28753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baseline="0">
                    <a:effectLst/>
                  </a:rPr>
                  <a:t>Persistance time in the household</a:t>
                </a:r>
                <a:endParaRPr lang="fr-FR"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753756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20774</Words>
  <Characters>114257</Characters>
  <Application>Microsoft Office Word</Application>
  <DocSecurity>0</DocSecurity>
  <Lines>952</Lines>
  <Paragraphs>269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9</cp:revision>
  <cp:lastPrinted>2020-03-02T13:32:00Z</cp:lastPrinted>
  <dcterms:created xsi:type="dcterms:W3CDTF">2020-03-02T13:29:00Z</dcterms:created>
  <dcterms:modified xsi:type="dcterms:W3CDTF">2020-04-01T23:29:00Z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id="yjBbkMPW"/&gt;&lt;style id="http://www.zotero.org/styles/journal-of-infectious-diseases"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