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63B2" w14:textId="77777777" w:rsidR="002E146C" w:rsidRDefault="002E146C" w:rsidP="002E146C">
      <w:pPr>
        <w:pStyle w:val="Heading2"/>
        <w:spacing w:line="480" w:lineRule="auto"/>
      </w:pPr>
      <w:r>
        <w:t xml:space="preserve">Additional Files </w:t>
      </w:r>
    </w:p>
    <w:p w14:paraId="71D09A46" w14:textId="77777777" w:rsidR="002E146C" w:rsidRDefault="002E146C" w:rsidP="002E146C">
      <w:pPr>
        <w:spacing w:line="480" w:lineRule="auto"/>
      </w:pPr>
    </w:p>
    <w:p w14:paraId="6ABB5DDF" w14:textId="77777777" w:rsidR="002E146C" w:rsidRDefault="002E146C" w:rsidP="002E146C">
      <w:pPr>
        <w:spacing w:line="480" w:lineRule="auto"/>
        <w:jc w:val="both"/>
        <w:rPr>
          <w:rFonts w:ascii="Arial" w:hAnsi="Arial" w:cs="Arial"/>
        </w:rPr>
      </w:pPr>
      <w:bookmarkStart w:id="0" w:name="_Toc465175019"/>
      <w:r>
        <w:rPr>
          <w:rStyle w:val="Heading2Char"/>
        </w:rPr>
        <w:t>Supplementary Table A1</w:t>
      </w:r>
      <w:bookmarkEnd w:id="0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Geographic information of the villages where mosquitoes were collected for the study. </w:t>
      </w:r>
    </w:p>
    <w:tbl>
      <w:tblPr>
        <w:tblW w:w="8838" w:type="dxa"/>
        <w:tblLook w:val="04A0" w:firstRow="1" w:lastRow="0" w:firstColumn="1" w:lastColumn="0" w:noHBand="0" w:noVBand="1"/>
      </w:tblPr>
      <w:tblGrid>
        <w:gridCol w:w="2943"/>
        <w:gridCol w:w="1922"/>
        <w:gridCol w:w="3973"/>
      </w:tblGrid>
      <w:tr w:rsidR="002E146C" w14:paraId="0635DDEA" w14:textId="77777777" w:rsidTr="004C3C73"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10D2A53" w14:textId="77777777" w:rsidR="002E146C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Centre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11D84B9" w14:textId="77777777" w:rsidR="002E146C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798D7D" w14:textId="77777777" w:rsidR="002E146C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Coordinates</w:t>
            </w:r>
          </w:p>
        </w:tc>
      </w:tr>
      <w:tr w:rsidR="002E146C" w14:paraId="298D4512" w14:textId="77777777" w:rsidTr="004C3C73">
        <w:tc>
          <w:tcPr>
            <w:tcW w:w="2943" w:type="dxa"/>
            <w:vMerge w:val="restart"/>
            <w:tcBorders>
              <w:top w:val="single" w:sz="4" w:space="0" w:color="000000"/>
            </w:tcBorders>
            <w:hideMark/>
          </w:tcPr>
          <w:p w14:paraId="5B8F03E4" w14:textId="77777777" w:rsidR="002E146C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Tiefora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</w:tcBorders>
            <w:hideMark/>
          </w:tcPr>
          <w:p w14:paraId="18953046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712F5D">
              <w:rPr>
                <w:rFonts w:ascii="Arial" w:hAnsi="Arial" w:cs="Arial"/>
              </w:rPr>
              <w:t>Djomale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/>
            </w:tcBorders>
            <w:hideMark/>
          </w:tcPr>
          <w:p w14:paraId="2E69BD3B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12F5D">
              <w:rPr>
                <w:rFonts w:ascii="Arial" w:hAnsi="Arial" w:cs="Arial"/>
              </w:rPr>
              <w:t>10˚33’17.24’’N; 4˚22’41.14’’W</w:t>
            </w:r>
          </w:p>
        </w:tc>
      </w:tr>
      <w:tr w:rsidR="002E146C" w14:paraId="13FF166C" w14:textId="77777777" w:rsidTr="004C3C73">
        <w:tc>
          <w:tcPr>
            <w:tcW w:w="0" w:type="auto"/>
            <w:vMerge/>
            <w:vAlign w:val="center"/>
            <w:hideMark/>
          </w:tcPr>
          <w:p w14:paraId="2B9F85B4" w14:textId="77777777" w:rsidR="002E146C" w:rsidRDefault="002E146C" w:rsidP="004C3C73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2" w:type="dxa"/>
            <w:hideMark/>
          </w:tcPr>
          <w:p w14:paraId="21D90CC7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12F5D">
              <w:rPr>
                <w:rFonts w:ascii="Arial" w:hAnsi="Arial" w:cs="Arial"/>
              </w:rPr>
              <w:t>Pont Maurice</w:t>
            </w:r>
          </w:p>
        </w:tc>
        <w:tc>
          <w:tcPr>
            <w:tcW w:w="3973" w:type="dxa"/>
            <w:hideMark/>
          </w:tcPr>
          <w:p w14:paraId="1ECC0596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12F5D">
              <w:rPr>
                <w:rFonts w:ascii="Arial" w:hAnsi="Arial" w:cs="Arial"/>
              </w:rPr>
              <w:t>10˚38’26.71’’N; 4˚29’41.62’’W</w:t>
            </w:r>
          </w:p>
        </w:tc>
      </w:tr>
      <w:tr w:rsidR="002E146C" w14:paraId="41BF91AA" w14:textId="77777777" w:rsidTr="004C3C73">
        <w:tc>
          <w:tcPr>
            <w:tcW w:w="0" w:type="auto"/>
            <w:vMerge/>
            <w:vAlign w:val="center"/>
            <w:hideMark/>
          </w:tcPr>
          <w:p w14:paraId="3C0BF94A" w14:textId="77777777" w:rsidR="002E146C" w:rsidRDefault="002E146C" w:rsidP="004C3C73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2" w:type="dxa"/>
            <w:hideMark/>
          </w:tcPr>
          <w:p w14:paraId="32674D5F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712F5D">
              <w:rPr>
                <w:rFonts w:ascii="Arial" w:hAnsi="Arial" w:cs="Arial"/>
              </w:rPr>
              <w:t>Sikane</w:t>
            </w:r>
            <w:proofErr w:type="spellEnd"/>
          </w:p>
        </w:tc>
        <w:tc>
          <w:tcPr>
            <w:tcW w:w="3973" w:type="dxa"/>
            <w:hideMark/>
          </w:tcPr>
          <w:p w14:paraId="401005E9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12F5D">
              <w:rPr>
                <w:rFonts w:ascii="Arial" w:hAnsi="Arial" w:cs="Arial"/>
              </w:rPr>
              <w:t>10˚34’27.49’’N; 4˚22’38.16’’W</w:t>
            </w:r>
          </w:p>
        </w:tc>
      </w:tr>
      <w:tr w:rsidR="002E146C" w14:paraId="1E5D14DB" w14:textId="77777777" w:rsidTr="004C3C73">
        <w:tc>
          <w:tcPr>
            <w:tcW w:w="2943" w:type="dxa"/>
          </w:tcPr>
          <w:p w14:paraId="6D43EE50" w14:textId="77777777" w:rsidR="002E146C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621A5ECF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14:paraId="28B40CD5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E146C" w14:paraId="200F2589" w14:textId="77777777" w:rsidTr="004C3C73">
        <w:tc>
          <w:tcPr>
            <w:tcW w:w="2943" w:type="dxa"/>
            <w:hideMark/>
          </w:tcPr>
          <w:p w14:paraId="73F5E85A" w14:textId="77777777" w:rsidR="002E146C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Kankounadeni</w:t>
            </w:r>
            <w:proofErr w:type="spellEnd"/>
          </w:p>
        </w:tc>
        <w:tc>
          <w:tcPr>
            <w:tcW w:w="1922" w:type="dxa"/>
            <w:hideMark/>
          </w:tcPr>
          <w:p w14:paraId="3BDFB9E2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712F5D">
              <w:rPr>
                <w:rFonts w:ascii="Arial" w:hAnsi="Arial" w:cs="Arial"/>
              </w:rPr>
              <w:t>Naniagara</w:t>
            </w:r>
            <w:proofErr w:type="spellEnd"/>
            <w:r w:rsidRPr="00712F5D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3973" w:type="dxa"/>
            <w:hideMark/>
          </w:tcPr>
          <w:p w14:paraId="10EAF03E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12F5D">
              <w:rPr>
                <w:rFonts w:ascii="Arial" w:hAnsi="Arial" w:cs="Arial"/>
              </w:rPr>
              <w:t>10˚32’9.15’’N; 4˚40’7.84’’W</w:t>
            </w:r>
          </w:p>
        </w:tc>
      </w:tr>
      <w:tr w:rsidR="002E146C" w14:paraId="3B3BDA63" w14:textId="77777777" w:rsidTr="004C3C73">
        <w:tc>
          <w:tcPr>
            <w:tcW w:w="2943" w:type="dxa"/>
          </w:tcPr>
          <w:p w14:paraId="001FB64A" w14:textId="77777777" w:rsidR="002E146C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5BA0ED3A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14:paraId="47B9BAB0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E146C" w14:paraId="1C06E11F" w14:textId="77777777" w:rsidTr="004C3C73">
        <w:tc>
          <w:tcPr>
            <w:tcW w:w="2943" w:type="dxa"/>
            <w:tcBorders>
              <w:bottom w:val="single" w:sz="4" w:space="0" w:color="auto"/>
            </w:tcBorders>
            <w:hideMark/>
          </w:tcPr>
          <w:p w14:paraId="0235E9C0" w14:textId="77777777" w:rsidR="002E146C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Koflande</w:t>
            </w:r>
            <w:proofErr w:type="spellEnd"/>
          </w:p>
        </w:tc>
        <w:tc>
          <w:tcPr>
            <w:tcW w:w="1922" w:type="dxa"/>
            <w:tcBorders>
              <w:bottom w:val="single" w:sz="4" w:space="0" w:color="auto"/>
            </w:tcBorders>
            <w:hideMark/>
          </w:tcPr>
          <w:p w14:paraId="69551FCC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712F5D">
              <w:rPr>
                <w:rFonts w:ascii="Arial" w:hAnsi="Arial" w:cs="Arial"/>
              </w:rPr>
              <w:t>Bakaridjan</w:t>
            </w:r>
            <w:proofErr w:type="spellEnd"/>
            <w:r w:rsidRPr="00712F5D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hideMark/>
          </w:tcPr>
          <w:p w14:paraId="01B1C608" w14:textId="77777777" w:rsidR="002E146C" w:rsidRPr="00712F5D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12F5D">
              <w:rPr>
                <w:rFonts w:ascii="Arial" w:hAnsi="Arial" w:cs="Arial"/>
              </w:rPr>
              <w:t>10˚24’26.34’’N; 4˚33’44.78’’W</w:t>
            </w:r>
          </w:p>
        </w:tc>
      </w:tr>
    </w:tbl>
    <w:p w14:paraId="4EF72F4A" w14:textId="77777777" w:rsidR="002E146C" w:rsidRDefault="002E146C" w:rsidP="002E146C">
      <w:pPr>
        <w:spacing w:line="480" w:lineRule="auto"/>
        <w:jc w:val="both"/>
        <w:rPr>
          <w:rFonts w:ascii="Arial" w:hAnsi="Arial" w:cs="Arial"/>
        </w:rPr>
      </w:pPr>
    </w:p>
    <w:p w14:paraId="7BDE103B" w14:textId="77777777" w:rsidR="002E146C" w:rsidRDefault="002E146C" w:rsidP="002E146C">
      <w:pPr>
        <w:spacing w:line="480" w:lineRule="auto"/>
      </w:pPr>
    </w:p>
    <w:p w14:paraId="1121AC49" w14:textId="77777777" w:rsidR="002E146C" w:rsidRDefault="002E146C" w:rsidP="002E146C">
      <w:pPr>
        <w:suppressAutoHyphens w:val="0"/>
        <w:spacing w:line="480" w:lineRule="auto"/>
      </w:pPr>
      <w:r>
        <w:br w:type="page"/>
      </w:r>
    </w:p>
    <w:p w14:paraId="53DB21F1" w14:textId="77777777" w:rsidR="002E146C" w:rsidRDefault="002E146C" w:rsidP="002E146C">
      <w:pPr>
        <w:spacing w:line="480" w:lineRule="auto"/>
      </w:pPr>
    </w:p>
    <w:p w14:paraId="18B207F3" w14:textId="77777777" w:rsidR="002E146C" w:rsidRDefault="002E146C" w:rsidP="002E146C">
      <w:pPr>
        <w:pStyle w:val="Heading2"/>
        <w:spacing w:line="480" w:lineRule="auto"/>
        <w:rPr>
          <w:rFonts w:asciiTheme="minorHAnsi" w:hAnsiTheme="minorHAnsi"/>
          <w:color w:val="auto"/>
          <w:sz w:val="22"/>
          <w:szCs w:val="22"/>
        </w:rPr>
      </w:pPr>
      <w:r>
        <w:t xml:space="preserve">Supplementary </w:t>
      </w:r>
      <w:r w:rsidRPr="00116D06">
        <w:t xml:space="preserve">Table A2. </w:t>
      </w:r>
      <w:r w:rsidRPr="00E4212E">
        <w:rPr>
          <w:rFonts w:asciiTheme="minorHAnsi" w:hAnsiTheme="minorHAnsi"/>
          <w:color w:val="auto"/>
          <w:sz w:val="22"/>
          <w:szCs w:val="22"/>
        </w:rPr>
        <w:t>Parity pre- and post-deployment.</w:t>
      </w:r>
      <w:bookmarkStart w:id="1" w:name="_Toc466382606"/>
      <w:r w:rsidRPr="00E4212E">
        <w:rPr>
          <w:rFonts w:asciiTheme="minorHAnsi" w:hAnsiTheme="minorHAnsi"/>
          <w:color w:val="auto"/>
          <w:sz w:val="22"/>
          <w:szCs w:val="22"/>
        </w:rPr>
        <w:t xml:space="preserve"> Physiological status of the female Anopheles.</w:t>
      </w:r>
      <w:bookmarkEnd w:id="1"/>
      <w:r w:rsidRPr="00E4212E">
        <w:rPr>
          <w:rFonts w:asciiTheme="minorHAnsi" w:hAnsiTheme="minorHAnsi"/>
          <w:color w:val="auto"/>
          <w:sz w:val="22"/>
          <w:szCs w:val="22"/>
        </w:rPr>
        <w:t xml:space="preserve">  Total percentages of blood</w:t>
      </w:r>
      <w:r>
        <w:rPr>
          <w:rFonts w:asciiTheme="minorHAnsi" w:hAnsiTheme="minorHAnsi"/>
          <w:color w:val="auto"/>
          <w:sz w:val="22"/>
          <w:szCs w:val="22"/>
        </w:rPr>
        <w:t>-</w:t>
      </w:r>
      <w:r w:rsidRPr="00E4212E">
        <w:rPr>
          <w:rFonts w:asciiTheme="minorHAnsi" w:hAnsiTheme="minorHAnsi"/>
          <w:color w:val="auto"/>
          <w:sz w:val="22"/>
          <w:szCs w:val="22"/>
        </w:rPr>
        <w:t>fed, gravid and non-blood</w:t>
      </w:r>
      <w:r>
        <w:rPr>
          <w:rFonts w:asciiTheme="minorHAnsi" w:hAnsiTheme="minorHAnsi"/>
          <w:color w:val="auto"/>
          <w:sz w:val="22"/>
          <w:szCs w:val="22"/>
        </w:rPr>
        <w:t>-</w:t>
      </w:r>
      <w:r w:rsidRPr="00E4212E">
        <w:rPr>
          <w:rFonts w:asciiTheme="minorHAnsi" w:hAnsiTheme="minorHAnsi"/>
          <w:color w:val="auto"/>
          <w:sz w:val="22"/>
          <w:szCs w:val="22"/>
        </w:rPr>
        <w:t xml:space="preserve">fed mosquitoes collected before and after the distribution of </w:t>
      </w:r>
      <w:proofErr w:type="spellStart"/>
      <w:r w:rsidRPr="00E4212E">
        <w:rPr>
          <w:rFonts w:asciiTheme="minorHAnsi" w:hAnsiTheme="minorHAnsi"/>
          <w:color w:val="auto"/>
          <w:sz w:val="22"/>
          <w:szCs w:val="22"/>
        </w:rPr>
        <w:t>Olyset</w:t>
      </w:r>
      <w:proofErr w:type="spellEnd"/>
      <w:r w:rsidRPr="00E4212E">
        <w:rPr>
          <w:rFonts w:asciiTheme="minorHAnsi" w:hAnsiTheme="minorHAnsi"/>
          <w:color w:val="auto"/>
          <w:sz w:val="22"/>
          <w:szCs w:val="22"/>
        </w:rPr>
        <w:t xml:space="preserve"> Duo</w:t>
      </w:r>
      <w:r>
        <w:rPr>
          <w:rFonts w:asciiTheme="minorHAnsi" w:hAnsiTheme="minorHAnsi"/>
          <w:color w:val="auto"/>
          <w:sz w:val="22"/>
          <w:szCs w:val="22"/>
        </w:rPr>
        <w:t>®</w:t>
      </w:r>
      <w:r w:rsidRPr="00E4212E">
        <w:rPr>
          <w:rFonts w:asciiTheme="minorHAnsi" w:hAnsiTheme="minorHAnsi"/>
          <w:color w:val="auto"/>
          <w:sz w:val="22"/>
          <w:szCs w:val="22"/>
        </w:rPr>
        <w:t>. The ‘blood</w:t>
      </w:r>
      <w:r>
        <w:rPr>
          <w:rFonts w:asciiTheme="minorHAnsi" w:hAnsiTheme="minorHAnsi"/>
          <w:color w:val="auto"/>
          <w:sz w:val="22"/>
          <w:szCs w:val="22"/>
        </w:rPr>
        <w:t>-</w:t>
      </w:r>
      <w:r w:rsidRPr="00E4212E">
        <w:rPr>
          <w:rFonts w:asciiTheme="minorHAnsi" w:hAnsiTheme="minorHAnsi"/>
          <w:color w:val="auto"/>
          <w:sz w:val="22"/>
          <w:szCs w:val="22"/>
        </w:rPr>
        <w:t>fed’ entry includes the mosquitoes that had that status but died upon collection and the mosquitoes that were used in the oviposition assays (Figures 6, 7 and 8).</w:t>
      </w:r>
    </w:p>
    <w:p w14:paraId="00E7B040" w14:textId="77777777" w:rsidR="002E146C" w:rsidRPr="00810409" w:rsidRDefault="002E146C" w:rsidP="002E146C">
      <w:pPr>
        <w:spacing w:line="480" w:lineRule="auto"/>
      </w:pPr>
    </w:p>
    <w:tbl>
      <w:tblPr>
        <w:tblW w:w="9453" w:type="dxa"/>
        <w:jc w:val="center"/>
        <w:tblLook w:val="04A0" w:firstRow="1" w:lastRow="0" w:firstColumn="1" w:lastColumn="0" w:noHBand="0" w:noVBand="1"/>
      </w:tblPr>
      <w:tblGrid>
        <w:gridCol w:w="1627"/>
        <w:gridCol w:w="1475"/>
        <w:gridCol w:w="726"/>
        <w:gridCol w:w="1887"/>
        <w:gridCol w:w="1843"/>
        <w:gridCol w:w="1895"/>
      </w:tblGrid>
      <w:tr w:rsidR="002E146C" w14:paraId="7BC4D800" w14:textId="77777777" w:rsidTr="004C3C73">
        <w:trPr>
          <w:trHeight w:val="300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6138DA" w14:textId="77777777" w:rsidR="002E146C" w:rsidRPr="00E4212E" w:rsidRDefault="002E146C" w:rsidP="004C3C73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E4212E">
              <w:rPr>
                <w:rFonts w:ascii="Arial" w:hAnsi="Arial" w:cs="Arial"/>
                <w:b/>
              </w:rPr>
              <w:t>Village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CEE67A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4212E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6CAF1C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4212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86A861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4212E">
              <w:rPr>
                <w:rFonts w:ascii="Arial" w:hAnsi="Arial" w:cs="Arial"/>
                <w:b/>
              </w:rPr>
              <w:t>Blood</w:t>
            </w:r>
            <w:r>
              <w:rPr>
                <w:rFonts w:ascii="Arial" w:hAnsi="Arial" w:cs="Arial"/>
                <w:b/>
              </w:rPr>
              <w:t>-</w:t>
            </w:r>
            <w:r w:rsidRPr="00E4212E">
              <w:rPr>
                <w:rFonts w:ascii="Arial" w:hAnsi="Arial" w:cs="Arial"/>
                <w:b/>
              </w:rPr>
              <w:t>fed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F65799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4212E">
              <w:rPr>
                <w:rFonts w:ascii="Arial" w:hAnsi="Arial" w:cs="Arial"/>
                <w:b/>
              </w:rPr>
              <w:t>Gravid*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8B5191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4212E">
              <w:rPr>
                <w:rFonts w:ascii="Arial" w:hAnsi="Arial" w:cs="Arial"/>
                <w:b/>
              </w:rPr>
              <w:t>Non-blood</w:t>
            </w:r>
            <w:r>
              <w:rPr>
                <w:rFonts w:ascii="Arial" w:hAnsi="Arial" w:cs="Arial"/>
                <w:b/>
              </w:rPr>
              <w:t>-</w:t>
            </w:r>
            <w:r w:rsidRPr="00E4212E">
              <w:rPr>
                <w:rFonts w:ascii="Arial" w:hAnsi="Arial" w:cs="Arial"/>
                <w:b/>
              </w:rPr>
              <w:t>fed*</w:t>
            </w:r>
          </w:p>
        </w:tc>
      </w:tr>
      <w:tr w:rsidR="002E146C" w14:paraId="3E6F7B78" w14:textId="77777777" w:rsidTr="004C3C73">
        <w:trPr>
          <w:trHeight w:val="300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9F7E46" w14:textId="77777777" w:rsidR="002E146C" w:rsidRPr="00E4212E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E4212E">
              <w:rPr>
                <w:rFonts w:ascii="Arial" w:hAnsi="Arial" w:cs="Arial"/>
              </w:rPr>
              <w:t>Naniagara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BC15A1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Before Duo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8967EED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92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904834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ND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A2EC156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ND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EBC0743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ND</w:t>
            </w:r>
          </w:p>
        </w:tc>
      </w:tr>
      <w:tr w:rsidR="002E146C" w14:paraId="6285E597" w14:textId="77777777" w:rsidTr="004C3C73">
        <w:trPr>
          <w:trHeight w:val="300"/>
          <w:jc w:val="center"/>
        </w:trPr>
        <w:tc>
          <w:tcPr>
            <w:tcW w:w="1627" w:type="dxa"/>
            <w:noWrap/>
            <w:hideMark/>
          </w:tcPr>
          <w:p w14:paraId="55E0743F" w14:textId="77777777" w:rsidR="002E146C" w:rsidRPr="00E4212E" w:rsidRDefault="002E146C" w:rsidP="004C3C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75" w:type="dxa"/>
            <w:noWrap/>
            <w:hideMark/>
          </w:tcPr>
          <w:p w14:paraId="1ED883EF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After Duo</w:t>
            </w:r>
          </w:p>
        </w:tc>
        <w:tc>
          <w:tcPr>
            <w:tcW w:w="726" w:type="dxa"/>
            <w:noWrap/>
            <w:hideMark/>
          </w:tcPr>
          <w:p w14:paraId="734A22A4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291</w:t>
            </w:r>
          </w:p>
        </w:tc>
        <w:tc>
          <w:tcPr>
            <w:tcW w:w="1887" w:type="dxa"/>
            <w:noWrap/>
            <w:hideMark/>
          </w:tcPr>
          <w:p w14:paraId="7E1FDDF8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83.2 %</w:t>
            </w:r>
          </w:p>
        </w:tc>
        <w:tc>
          <w:tcPr>
            <w:tcW w:w="1843" w:type="dxa"/>
            <w:noWrap/>
            <w:hideMark/>
          </w:tcPr>
          <w:p w14:paraId="27935E9E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7.6 %</w:t>
            </w:r>
          </w:p>
        </w:tc>
        <w:tc>
          <w:tcPr>
            <w:tcW w:w="1895" w:type="dxa"/>
            <w:noWrap/>
            <w:hideMark/>
          </w:tcPr>
          <w:p w14:paraId="5BA1A00C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9.3 %</w:t>
            </w:r>
          </w:p>
        </w:tc>
      </w:tr>
      <w:tr w:rsidR="002E146C" w14:paraId="32C8074D" w14:textId="77777777" w:rsidTr="004C3C73">
        <w:trPr>
          <w:trHeight w:val="300"/>
          <w:jc w:val="center"/>
        </w:trPr>
        <w:tc>
          <w:tcPr>
            <w:tcW w:w="1627" w:type="dxa"/>
            <w:noWrap/>
          </w:tcPr>
          <w:p w14:paraId="45C5CE03" w14:textId="77777777" w:rsidR="002E146C" w:rsidRPr="00E4212E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  <w:noWrap/>
          </w:tcPr>
          <w:p w14:paraId="507D221B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noWrap/>
          </w:tcPr>
          <w:p w14:paraId="6B92378E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dxa"/>
            <w:noWrap/>
          </w:tcPr>
          <w:p w14:paraId="636A22F1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14:paraId="79CB682A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noWrap/>
          </w:tcPr>
          <w:p w14:paraId="0B6813B0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E146C" w14:paraId="582C5CB1" w14:textId="77777777" w:rsidTr="004C3C73">
        <w:trPr>
          <w:trHeight w:val="300"/>
          <w:jc w:val="center"/>
        </w:trPr>
        <w:tc>
          <w:tcPr>
            <w:tcW w:w="1627" w:type="dxa"/>
            <w:noWrap/>
            <w:hideMark/>
          </w:tcPr>
          <w:p w14:paraId="3ECCEFF0" w14:textId="77777777" w:rsidR="002E146C" w:rsidRPr="00E4212E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E4212E">
              <w:rPr>
                <w:rFonts w:ascii="Arial" w:hAnsi="Arial" w:cs="Arial"/>
              </w:rPr>
              <w:t>Bakaridjan</w:t>
            </w:r>
            <w:proofErr w:type="spellEnd"/>
          </w:p>
        </w:tc>
        <w:tc>
          <w:tcPr>
            <w:tcW w:w="1475" w:type="dxa"/>
            <w:noWrap/>
            <w:hideMark/>
          </w:tcPr>
          <w:p w14:paraId="571D914B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Before Duo</w:t>
            </w:r>
          </w:p>
        </w:tc>
        <w:tc>
          <w:tcPr>
            <w:tcW w:w="726" w:type="dxa"/>
            <w:noWrap/>
            <w:hideMark/>
          </w:tcPr>
          <w:p w14:paraId="245BD28C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202</w:t>
            </w:r>
          </w:p>
        </w:tc>
        <w:tc>
          <w:tcPr>
            <w:tcW w:w="1887" w:type="dxa"/>
            <w:noWrap/>
            <w:hideMark/>
          </w:tcPr>
          <w:p w14:paraId="71A918B4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ND</w:t>
            </w:r>
          </w:p>
        </w:tc>
        <w:tc>
          <w:tcPr>
            <w:tcW w:w="1843" w:type="dxa"/>
            <w:noWrap/>
            <w:hideMark/>
          </w:tcPr>
          <w:p w14:paraId="7F25950B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ND</w:t>
            </w:r>
          </w:p>
        </w:tc>
        <w:tc>
          <w:tcPr>
            <w:tcW w:w="1895" w:type="dxa"/>
            <w:noWrap/>
            <w:hideMark/>
          </w:tcPr>
          <w:p w14:paraId="5FD3B750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ND</w:t>
            </w:r>
          </w:p>
        </w:tc>
      </w:tr>
      <w:tr w:rsidR="002E146C" w14:paraId="6E2A7348" w14:textId="77777777" w:rsidTr="004C3C73">
        <w:trPr>
          <w:trHeight w:val="300"/>
          <w:jc w:val="center"/>
        </w:trPr>
        <w:tc>
          <w:tcPr>
            <w:tcW w:w="1627" w:type="dxa"/>
            <w:noWrap/>
            <w:hideMark/>
          </w:tcPr>
          <w:p w14:paraId="38ECC9F8" w14:textId="77777777" w:rsidR="002E146C" w:rsidRPr="00E4212E" w:rsidRDefault="002E146C" w:rsidP="004C3C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75" w:type="dxa"/>
            <w:noWrap/>
            <w:hideMark/>
          </w:tcPr>
          <w:p w14:paraId="6F0CF67F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After Duo</w:t>
            </w:r>
          </w:p>
        </w:tc>
        <w:tc>
          <w:tcPr>
            <w:tcW w:w="726" w:type="dxa"/>
            <w:noWrap/>
            <w:hideMark/>
          </w:tcPr>
          <w:p w14:paraId="5F596A4F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184</w:t>
            </w:r>
          </w:p>
        </w:tc>
        <w:tc>
          <w:tcPr>
            <w:tcW w:w="1887" w:type="dxa"/>
            <w:noWrap/>
            <w:hideMark/>
          </w:tcPr>
          <w:p w14:paraId="0450426D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84.8 %</w:t>
            </w:r>
          </w:p>
        </w:tc>
        <w:tc>
          <w:tcPr>
            <w:tcW w:w="1843" w:type="dxa"/>
            <w:noWrap/>
            <w:hideMark/>
          </w:tcPr>
          <w:p w14:paraId="16110E64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11.4 %</w:t>
            </w:r>
          </w:p>
        </w:tc>
        <w:tc>
          <w:tcPr>
            <w:tcW w:w="1895" w:type="dxa"/>
            <w:noWrap/>
            <w:hideMark/>
          </w:tcPr>
          <w:p w14:paraId="2761CE0C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3.8 %</w:t>
            </w:r>
          </w:p>
        </w:tc>
      </w:tr>
      <w:tr w:rsidR="002E146C" w14:paraId="2EFDD304" w14:textId="77777777" w:rsidTr="004C3C73">
        <w:trPr>
          <w:trHeight w:val="300"/>
          <w:jc w:val="center"/>
        </w:trPr>
        <w:tc>
          <w:tcPr>
            <w:tcW w:w="1627" w:type="dxa"/>
            <w:noWrap/>
          </w:tcPr>
          <w:p w14:paraId="6D957196" w14:textId="77777777" w:rsidR="002E146C" w:rsidRPr="00E4212E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  <w:noWrap/>
          </w:tcPr>
          <w:p w14:paraId="19337F01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noWrap/>
          </w:tcPr>
          <w:p w14:paraId="679C1869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dxa"/>
            <w:noWrap/>
          </w:tcPr>
          <w:p w14:paraId="6A61662F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14:paraId="359A0473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noWrap/>
          </w:tcPr>
          <w:p w14:paraId="70A96E6A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E146C" w14:paraId="3E108856" w14:textId="77777777" w:rsidTr="004C3C73">
        <w:trPr>
          <w:trHeight w:val="300"/>
          <w:jc w:val="center"/>
        </w:trPr>
        <w:tc>
          <w:tcPr>
            <w:tcW w:w="1627" w:type="dxa"/>
            <w:noWrap/>
            <w:hideMark/>
          </w:tcPr>
          <w:p w14:paraId="5A9519B1" w14:textId="77777777" w:rsidR="002E146C" w:rsidRPr="00E4212E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Pont Maurice</w:t>
            </w:r>
          </w:p>
        </w:tc>
        <w:tc>
          <w:tcPr>
            <w:tcW w:w="1475" w:type="dxa"/>
            <w:noWrap/>
            <w:hideMark/>
          </w:tcPr>
          <w:p w14:paraId="250781F4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Before Duo</w:t>
            </w:r>
          </w:p>
        </w:tc>
        <w:tc>
          <w:tcPr>
            <w:tcW w:w="726" w:type="dxa"/>
            <w:noWrap/>
            <w:hideMark/>
          </w:tcPr>
          <w:p w14:paraId="2C1141A3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213</w:t>
            </w:r>
          </w:p>
        </w:tc>
        <w:tc>
          <w:tcPr>
            <w:tcW w:w="1887" w:type="dxa"/>
            <w:noWrap/>
            <w:hideMark/>
          </w:tcPr>
          <w:p w14:paraId="2D0FD572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99.1 %</w:t>
            </w:r>
          </w:p>
        </w:tc>
        <w:tc>
          <w:tcPr>
            <w:tcW w:w="1843" w:type="dxa"/>
            <w:noWrap/>
            <w:hideMark/>
          </w:tcPr>
          <w:p w14:paraId="537C37FA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0</w:t>
            </w:r>
          </w:p>
        </w:tc>
        <w:tc>
          <w:tcPr>
            <w:tcW w:w="1895" w:type="dxa"/>
            <w:noWrap/>
            <w:hideMark/>
          </w:tcPr>
          <w:p w14:paraId="5F7C492F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0.9 %</w:t>
            </w:r>
          </w:p>
        </w:tc>
      </w:tr>
      <w:tr w:rsidR="002E146C" w14:paraId="7BD45261" w14:textId="77777777" w:rsidTr="004C3C73">
        <w:trPr>
          <w:trHeight w:val="300"/>
          <w:jc w:val="center"/>
        </w:trPr>
        <w:tc>
          <w:tcPr>
            <w:tcW w:w="1627" w:type="dxa"/>
            <w:noWrap/>
            <w:hideMark/>
          </w:tcPr>
          <w:p w14:paraId="1B4B132D" w14:textId="77777777" w:rsidR="002E146C" w:rsidRPr="00E4212E" w:rsidRDefault="002E146C" w:rsidP="004C3C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75" w:type="dxa"/>
            <w:noWrap/>
            <w:hideMark/>
          </w:tcPr>
          <w:p w14:paraId="2A2B6736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After Duo</w:t>
            </w:r>
          </w:p>
        </w:tc>
        <w:tc>
          <w:tcPr>
            <w:tcW w:w="726" w:type="dxa"/>
            <w:noWrap/>
            <w:hideMark/>
          </w:tcPr>
          <w:p w14:paraId="5E234F7E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220</w:t>
            </w:r>
          </w:p>
        </w:tc>
        <w:tc>
          <w:tcPr>
            <w:tcW w:w="1887" w:type="dxa"/>
            <w:noWrap/>
            <w:hideMark/>
          </w:tcPr>
          <w:p w14:paraId="0BAD7C8D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74.5 %</w:t>
            </w:r>
          </w:p>
        </w:tc>
        <w:tc>
          <w:tcPr>
            <w:tcW w:w="1843" w:type="dxa"/>
            <w:noWrap/>
            <w:hideMark/>
          </w:tcPr>
          <w:p w14:paraId="198FF6A8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5.9 %</w:t>
            </w:r>
          </w:p>
        </w:tc>
        <w:tc>
          <w:tcPr>
            <w:tcW w:w="1895" w:type="dxa"/>
            <w:noWrap/>
            <w:hideMark/>
          </w:tcPr>
          <w:p w14:paraId="42F63ECF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19.5 %</w:t>
            </w:r>
          </w:p>
        </w:tc>
      </w:tr>
      <w:tr w:rsidR="002E146C" w14:paraId="72B19E47" w14:textId="77777777" w:rsidTr="004C3C73">
        <w:trPr>
          <w:trHeight w:val="300"/>
          <w:jc w:val="center"/>
        </w:trPr>
        <w:tc>
          <w:tcPr>
            <w:tcW w:w="1627" w:type="dxa"/>
            <w:noWrap/>
          </w:tcPr>
          <w:p w14:paraId="1B694282" w14:textId="77777777" w:rsidR="002E146C" w:rsidRPr="00E4212E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  <w:noWrap/>
          </w:tcPr>
          <w:p w14:paraId="30294507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noWrap/>
          </w:tcPr>
          <w:p w14:paraId="3A49E22E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dxa"/>
            <w:noWrap/>
          </w:tcPr>
          <w:p w14:paraId="3F76C0DF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14:paraId="49D213C3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noWrap/>
          </w:tcPr>
          <w:p w14:paraId="1B4CF722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E146C" w14:paraId="77AC58B5" w14:textId="77777777" w:rsidTr="004C3C73">
        <w:trPr>
          <w:trHeight w:val="300"/>
          <w:jc w:val="center"/>
        </w:trPr>
        <w:tc>
          <w:tcPr>
            <w:tcW w:w="1627" w:type="dxa"/>
            <w:noWrap/>
            <w:hideMark/>
          </w:tcPr>
          <w:p w14:paraId="2311FC36" w14:textId="77777777" w:rsidR="002E146C" w:rsidRPr="00E4212E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E4212E">
              <w:rPr>
                <w:rFonts w:ascii="Arial" w:hAnsi="Arial" w:cs="Arial"/>
              </w:rPr>
              <w:t>Djomale</w:t>
            </w:r>
            <w:proofErr w:type="spellEnd"/>
          </w:p>
        </w:tc>
        <w:tc>
          <w:tcPr>
            <w:tcW w:w="1475" w:type="dxa"/>
            <w:noWrap/>
            <w:hideMark/>
          </w:tcPr>
          <w:p w14:paraId="0405652F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Before Duo</w:t>
            </w:r>
          </w:p>
        </w:tc>
        <w:tc>
          <w:tcPr>
            <w:tcW w:w="726" w:type="dxa"/>
            <w:noWrap/>
            <w:hideMark/>
          </w:tcPr>
          <w:p w14:paraId="5E076D13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361</w:t>
            </w:r>
          </w:p>
        </w:tc>
        <w:tc>
          <w:tcPr>
            <w:tcW w:w="1887" w:type="dxa"/>
            <w:noWrap/>
            <w:hideMark/>
          </w:tcPr>
          <w:p w14:paraId="5DF06A29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94.5 %</w:t>
            </w:r>
          </w:p>
        </w:tc>
        <w:tc>
          <w:tcPr>
            <w:tcW w:w="1843" w:type="dxa"/>
            <w:noWrap/>
            <w:hideMark/>
          </w:tcPr>
          <w:p w14:paraId="6B259530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0</w:t>
            </w:r>
          </w:p>
        </w:tc>
        <w:tc>
          <w:tcPr>
            <w:tcW w:w="1895" w:type="dxa"/>
            <w:noWrap/>
            <w:hideMark/>
          </w:tcPr>
          <w:p w14:paraId="1BD93AAA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5.5 %</w:t>
            </w:r>
          </w:p>
        </w:tc>
      </w:tr>
      <w:tr w:rsidR="002E146C" w14:paraId="4E3310FF" w14:textId="77777777" w:rsidTr="004C3C73">
        <w:trPr>
          <w:trHeight w:val="300"/>
          <w:jc w:val="center"/>
        </w:trPr>
        <w:tc>
          <w:tcPr>
            <w:tcW w:w="1627" w:type="dxa"/>
            <w:noWrap/>
            <w:hideMark/>
          </w:tcPr>
          <w:p w14:paraId="29D40680" w14:textId="77777777" w:rsidR="002E146C" w:rsidRPr="00E4212E" w:rsidRDefault="002E146C" w:rsidP="004C3C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75" w:type="dxa"/>
            <w:noWrap/>
            <w:hideMark/>
          </w:tcPr>
          <w:p w14:paraId="460A21F5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After Duo</w:t>
            </w:r>
          </w:p>
        </w:tc>
        <w:tc>
          <w:tcPr>
            <w:tcW w:w="726" w:type="dxa"/>
            <w:noWrap/>
            <w:hideMark/>
          </w:tcPr>
          <w:p w14:paraId="0DC59C75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117</w:t>
            </w:r>
          </w:p>
        </w:tc>
        <w:tc>
          <w:tcPr>
            <w:tcW w:w="1887" w:type="dxa"/>
            <w:noWrap/>
            <w:hideMark/>
          </w:tcPr>
          <w:p w14:paraId="710FEFEB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80.3 %</w:t>
            </w:r>
          </w:p>
        </w:tc>
        <w:tc>
          <w:tcPr>
            <w:tcW w:w="1843" w:type="dxa"/>
            <w:noWrap/>
            <w:hideMark/>
          </w:tcPr>
          <w:p w14:paraId="0B740C27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5.1 %</w:t>
            </w:r>
          </w:p>
        </w:tc>
        <w:tc>
          <w:tcPr>
            <w:tcW w:w="1895" w:type="dxa"/>
            <w:noWrap/>
            <w:hideMark/>
          </w:tcPr>
          <w:p w14:paraId="7E02D85B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14.5 %</w:t>
            </w:r>
          </w:p>
        </w:tc>
      </w:tr>
      <w:tr w:rsidR="002E146C" w14:paraId="30D10CBF" w14:textId="77777777" w:rsidTr="004C3C73">
        <w:trPr>
          <w:trHeight w:val="300"/>
          <w:jc w:val="center"/>
        </w:trPr>
        <w:tc>
          <w:tcPr>
            <w:tcW w:w="1627" w:type="dxa"/>
            <w:noWrap/>
          </w:tcPr>
          <w:p w14:paraId="181FDCE2" w14:textId="77777777" w:rsidR="002E146C" w:rsidRPr="00E4212E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  <w:noWrap/>
          </w:tcPr>
          <w:p w14:paraId="19698034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noWrap/>
          </w:tcPr>
          <w:p w14:paraId="7F6803E8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dxa"/>
            <w:noWrap/>
          </w:tcPr>
          <w:p w14:paraId="546AE440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14:paraId="23C34697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noWrap/>
          </w:tcPr>
          <w:p w14:paraId="1577D272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E146C" w14:paraId="4AE5B26A" w14:textId="77777777" w:rsidTr="004C3C73">
        <w:trPr>
          <w:trHeight w:val="60"/>
          <w:jc w:val="center"/>
        </w:trPr>
        <w:tc>
          <w:tcPr>
            <w:tcW w:w="1627" w:type="dxa"/>
            <w:noWrap/>
            <w:hideMark/>
          </w:tcPr>
          <w:p w14:paraId="5EE2D11A" w14:textId="77777777" w:rsidR="002E146C" w:rsidRPr="00E4212E" w:rsidRDefault="002E146C" w:rsidP="004C3C73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E4212E">
              <w:rPr>
                <w:rFonts w:ascii="Arial" w:hAnsi="Arial" w:cs="Arial"/>
              </w:rPr>
              <w:t>Sikane</w:t>
            </w:r>
            <w:proofErr w:type="spellEnd"/>
          </w:p>
        </w:tc>
        <w:tc>
          <w:tcPr>
            <w:tcW w:w="1475" w:type="dxa"/>
            <w:noWrap/>
            <w:hideMark/>
          </w:tcPr>
          <w:p w14:paraId="3E7CCADB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Before Duo</w:t>
            </w:r>
          </w:p>
        </w:tc>
        <w:tc>
          <w:tcPr>
            <w:tcW w:w="726" w:type="dxa"/>
            <w:noWrap/>
            <w:hideMark/>
          </w:tcPr>
          <w:p w14:paraId="547F096D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239</w:t>
            </w:r>
          </w:p>
        </w:tc>
        <w:tc>
          <w:tcPr>
            <w:tcW w:w="1887" w:type="dxa"/>
            <w:noWrap/>
            <w:hideMark/>
          </w:tcPr>
          <w:p w14:paraId="28997A95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98.7 %</w:t>
            </w:r>
          </w:p>
        </w:tc>
        <w:tc>
          <w:tcPr>
            <w:tcW w:w="1843" w:type="dxa"/>
            <w:noWrap/>
            <w:hideMark/>
          </w:tcPr>
          <w:p w14:paraId="230073C2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0</w:t>
            </w:r>
          </w:p>
        </w:tc>
        <w:tc>
          <w:tcPr>
            <w:tcW w:w="1895" w:type="dxa"/>
            <w:noWrap/>
            <w:hideMark/>
          </w:tcPr>
          <w:p w14:paraId="636593D8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1.3 %</w:t>
            </w:r>
          </w:p>
        </w:tc>
      </w:tr>
      <w:tr w:rsidR="002E146C" w14:paraId="4A99B30F" w14:textId="77777777" w:rsidTr="004C3C73">
        <w:trPr>
          <w:trHeight w:val="300"/>
          <w:jc w:val="center"/>
        </w:trPr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FA6A64" w14:textId="77777777" w:rsidR="002E146C" w:rsidRPr="00E4212E" w:rsidRDefault="002E146C" w:rsidP="004C3C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D06F05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After Duo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3FF3D8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195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7AAE4A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94.4 %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7D1A6F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1.5 %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6BEE16" w14:textId="77777777" w:rsidR="002E146C" w:rsidRPr="00E4212E" w:rsidRDefault="002E146C" w:rsidP="004C3C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2E">
              <w:rPr>
                <w:rFonts w:ascii="Arial" w:hAnsi="Arial" w:cs="Arial"/>
              </w:rPr>
              <w:t>4.1 %</w:t>
            </w:r>
          </w:p>
        </w:tc>
      </w:tr>
    </w:tbl>
    <w:p w14:paraId="057723F7" w14:textId="77777777" w:rsidR="002E146C" w:rsidRDefault="002E146C" w:rsidP="002E146C">
      <w:pPr>
        <w:spacing w:line="480" w:lineRule="auto"/>
        <w:jc w:val="both"/>
      </w:pPr>
      <w:r w:rsidRPr="00116D06">
        <w:rPr>
          <w:rFonts w:ascii="Arial" w:hAnsi="Arial" w:cs="Arial"/>
          <w:sz w:val="18"/>
          <w:szCs w:val="18"/>
        </w:rPr>
        <w:t>*Dead on the day of collection</w:t>
      </w:r>
    </w:p>
    <w:p w14:paraId="46AB6238" w14:textId="77777777" w:rsidR="002E146C" w:rsidRDefault="002E146C" w:rsidP="002E146C">
      <w:pPr>
        <w:suppressAutoHyphens w:val="0"/>
        <w:spacing w:line="480" w:lineRule="auto"/>
      </w:pPr>
      <w:r>
        <w:br w:type="page"/>
      </w:r>
    </w:p>
    <w:p w14:paraId="37E3CD9E" w14:textId="77777777" w:rsidR="002E146C" w:rsidRDefault="002E146C" w:rsidP="002E146C">
      <w:pPr>
        <w:spacing w:line="480" w:lineRule="auto"/>
      </w:pPr>
    </w:p>
    <w:p w14:paraId="395406FB" w14:textId="77777777" w:rsidR="002E146C" w:rsidRDefault="002E146C" w:rsidP="002E146C">
      <w:pPr>
        <w:pStyle w:val="Caption"/>
        <w:spacing w:line="480" w:lineRule="auto"/>
        <w:jc w:val="both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>Supplementary Figure 1:</w:t>
      </w:r>
      <w:r w:rsidRPr="00BE673C">
        <w:rPr>
          <w:sz w:val="22"/>
          <w:szCs w:val="22"/>
        </w:rPr>
        <w:t xml:space="preserve"> </w:t>
      </w:r>
      <w:r w:rsidRPr="00BE673C">
        <w:rPr>
          <w:b/>
          <w:bCs/>
          <w:i w:val="0"/>
          <w:iCs w:val="0"/>
          <w:sz w:val="22"/>
          <w:szCs w:val="22"/>
        </w:rPr>
        <w:t xml:space="preserve">Susceptibility of field mosquitoes to </w:t>
      </w:r>
      <w:r>
        <w:rPr>
          <w:b/>
          <w:bCs/>
          <w:i w:val="0"/>
          <w:iCs w:val="0"/>
          <w:sz w:val="22"/>
          <w:szCs w:val="22"/>
        </w:rPr>
        <w:t xml:space="preserve">ITNs </w:t>
      </w:r>
      <w:r w:rsidRPr="00BE673C">
        <w:rPr>
          <w:b/>
          <w:bCs/>
          <w:i w:val="0"/>
          <w:iCs w:val="0"/>
          <w:sz w:val="22"/>
          <w:szCs w:val="22"/>
        </w:rPr>
        <w:t>and</w:t>
      </w:r>
      <w:r>
        <w:rPr>
          <w:b/>
          <w:bCs/>
          <w:i w:val="0"/>
          <w:iCs w:val="0"/>
          <w:sz w:val="22"/>
          <w:szCs w:val="22"/>
        </w:rPr>
        <w:t xml:space="preserve"> PPF-ITNs</w:t>
      </w:r>
      <w:r w:rsidRPr="00BE673C">
        <w:rPr>
          <w:b/>
          <w:bCs/>
          <w:i w:val="0"/>
          <w:iCs w:val="0"/>
          <w:sz w:val="22"/>
          <w:szCs w:val="22"/>
        </w:rPr>
        <w:t xml:space="preserve">. </w:t>
      </w:r>
      <w:r w:rsidRPr="00BE673C">
        <w:rPr>
          <w:i w:val="0"/>
          <w:iCs w:val="0"/>
          <w:sz w:val="22"/>
          <w:szCs w:val="22"/>
        </w:rPr>
        <w:t>F</w:t>
      </w:r>
      <w:r w:rsidRPr="00BE673C">
        <w:rPr>
          <w:i w:val="0"/>
          <w:iCs w:val="0"/>
          <w:sz w:val="22"/>
          <w:szCs w:val="22"/>
          <w:vertAlign w:val="subscript"/>
        </w:rPr>
        <w:t>0</w:t>
      </w:r>
      <w:r w:rsidRPr="00BE673C">
        <w:rPr>
          <w:i w:val="0"/>
          <w:iCs w:val="0"/>
          <w:sz w:val="22"/>
          <w:szCs w:val="22"/>
        </w:rPr>
        <w:t xml:space="preserve"> progeny from larvae collected from </w:t>
      </w:r>
      <w:proofErr w:type="spellStart"/>
      <w:r w:rsidRPr="00BE673C">
        <w:rPr>
          <w:i w:val="0"/>
          <w:iCs w:val="0"/>
          <w:sz w:val="22"/>
          <w:szCs w:val="22"/>
        </w:rPr>
        <w:t>Tiefora</w:t>
      </w:r>
      <w:proofErr w:type="spellEnd"/>
      <w:r w:rsidRPr="00BE673C">
        <w:rPr>
          <w:i w:val="0"/>
          <w:iCs w:val="0"/>
          <w:sz w:val="22"/>
          <w:szCs w:val="22"/>
        </w:rPr>
        <w:t xml:space="preserve">, </w:t>
      </w:r>
      <w:proofErr w:type="spellStart"/>
      <w:r w:rsidRPr="00BE673C">
        <w:rPr>
          <w:i w:val="0"/>
          <w:iCs w:val="0"/>
          <w:sz w:val="22"/>
          <w:szCs w:val="22"/>
        </w:rPr>
        <w:t>Naniagara</w:t>
      </w:r>
      <w:proofErr w:type="spellEnd"/>
      <w:r w:rsidRPr="00BE673C">
        <w:rPr>
          <w:i w:val="0"/>
          <w:iCs w:val="0"/>
          <w:sz w:val="22"/>
          <w:szCs w:val="22"/>
        </w:rPr>
        <w:t xml:space="preserve"> and </w:t>
      </w:r>
      <w:proofErr w:type="spellStart"/>
      <w:r w:rsidRPr="00BE673C">
        <w:rPr>
          <w:i w:val="0"/>
          <w:iCs w:val="0"/>
          <w:sz w:val="22"/>
          <w:szCs w:val="22"/>
        </w:rPr>
        <w:t>Bakaridjan</w:t>
      </w:r>
      <w:proofErr w:type="spellEnd"/>
      <w:r w:rsidRPr="00BE673C">
        <w:rPr>
          <w:i w:val="0"/>
          <w:iCs w:val="0"/>
          <w:sz w:val="22"/>
          <w:szCs w:val="22"/>
        </w:rPr>
        <w:t xml:space="preserve"> were exposed to </w:t>
      </w:r>
      <w:r>
        <w:rPr>
          <w:i w:val="0"/>
          <w:iCs w:val="0"/>
          <w:sz w:val="22"/>
          <w:szCs w:val="22"/>
        </w:rPr>
        <w:t>and ITN (</w:t>
      </w:r>
      <w:proofErr w:type="spellStart"/>
      <w:r w:rsidRPr="00BE673C">
        <w:rPr>
          <w:i w:val="0"/>
          <w:iCs w:val="0"/>
          <w:sz w:val="22"/>
          <w:szCs w:val="22"/>
        </w:rPr>
        <w:t>Olyset</w:t>
      </w:r>
      <w:proofErr w:type="spellEnd"/>
      <w:r w:rsidRPr="00BE673C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 xml:space="preserve">Net) </w:t>
      </w:r>
      <w:r w:rsidRPr="00BE673C">
        <w:rPr>
          <w:i w:val="0"/>
          <w:iCs w:val="0"/>
          <w:sz w:val="22"/>
          <w:szCs w:val="22"/>
        </w:rPr>
        <w:t xml:space="preserve">and </w:t>
      </w:r>
      <w:proofErr w:type="spellStart"/>
      <w:r w:rsidRPr="00BE673C">
        <w:rPr>
          <w:i w:val="0"/>
          <w:iCs w:val="0"/>
          <w:sz w:val="22"/>
          <w:szCs w:val="22"/>
        </w:rPr>
        <w:t>Olyset</w:t>
      </w:r>
      <w:proofErr w:type="spellEnd"/>
      <w:r w:rsidRPr="00BE673C">
        <w:rPr>
          <w:i w:val="0"/>
          <w:iCs w:val="0"/>
          <w:sz w:val="22"/>
          <w:szCs w:val="22"/>
        </w:rPr>
        <w:t xml:space="preserve"> Duo in a WHO cone test and scored for mortality 24 hours post exposure. Error bars represent 95% confidence intervals. Z-tests significant differences: *** = p&lt;0.001. The red line represents the minimum effectiveness of ITNs recommended by WHO</w:t>
      </w:r>
      <w:r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fldChar w:fldCharType="begin" w:fldLock="1"/>
      </w:r>
      <w:r>
        <w:rPr>
          <w:i w:val="0"/>
          <w:iCs w:val="0"/>
          <w:sz w:val="22"/>
          <w:szCs w:val="22"/>
        </w:rPr>
        <w:instrText>ADDIN CSL_CITATION {"citationItems":[{"id":"ITEM-1","itemData":{"ISSN":"9241505273","author":[{"dropping-particle":"","family":"WHO","given":"","non-dropping-particle":"","parse-names":false,"suffix":""}],"id":"ITEM-1","issued":{"date-parts":[["2013"]]},"publisher":"World Health Organization","publisher-place":"Geneva","title":"Guidelines for laboratory and field-testing of long-lasting insecticidal nets","type":"report"},"uris":["http://www.mendeley.com/documents/?uuid=7316b03b-169a-3b68-81c1-ba16d0852f2e"]}],"mendeley":{"formattedCitation":"(WHO, 2013)","plainTextFormattedCitation":"(WHO, 2013)","previouslyFormattedCitation":"(WHO, 2013)"},"properties":{"noteIndex":0},"schema":"https://github.com/citation-style-language/schema/raw/master/csl-citation.json"}</w:instrText>
      </w:r>
      <w:r>
        <w:rPr>
          <w:i w:val="0"/>
          <w:iCs w:val="0"/>
          <w:sz w:val="22"/>
          <w:szCs w:val="22"/>
        </w:rPr>
        <w:fldChar w:fldCharType="separate"/>
      </w:r>
      <w:r w:rsidRPr="00A773C6">
        <w:rPr>
          <w:i w:val="0"/>
          <w:iCs w:val="0"/>
          <w:noProof/>
          <w:sz w:val="22"/>
          <w:szCs w:val="22"/>
        </w:rPr>
        <w:t>(WHO, 2013)</w:t>
      </w:r>
      <w:r>
        <w:rPr>
          <w:i w:val="0"/>
          <w:iCs w:val="0"/>
          <w:sz w:val="22"/>
          <w:szCs w:val="22"/>
        </w:rPr>
        <w:fldChar w:fldCharType="end"/>
      </w:r>
      <w:r w:rsidRPr="00BE673C">
        <w:rPr>
          <w:i w:val="0"/>
          <w:iCs w:val="0"/>
          <w:sz w:val="22"/>
          <w:szCs w:val="22"/>
        </w:rPr>
        <w:t xml:space="preserve">. Numbers over each bar represent the number of mosquitoes tested per net. </w:t>
      </w:r>
    </w:p>
    <w:p w14:paraId="679CAA31" w14:textId="77777777" w:rsidR="002E146C" w:rsidRDefault="002E146C" w:rsidP="002E146C">
      <w:pPr>
        <w:pStyle w:val="Caption"/>
        <w:spacing w:line="480" w:lineRule="auto"/>
        <w:jc w:val="both"/>
        <w:rPr>
          <w:i w:val="0"/>
          <w:iCs w:val="0"/>
          <w:sz w:val="22"/>
          <w:szCs w:val="22"/>
        </w:rPr>
      </w:pPr>
    </w:p>
    <w:p w14:paraId="0039FFEF" w14:textId="77777777" w:rsidR="002E146C" w:rsidRDefault="002E146C" w:rsidP="002E146C">
      <w:pPr>
        <w:pStyle w:val="Caption"/>
        <w:spacing w:line="480" w:lineRule="auto"/>
        <w:jc w:val="both"/>
        <w:rPr>
          <w:color w:val="0070C0"/>
          <w:sz w:val="23"/>
          <w:szCs w:val="23"/>
        </w:rPr>
      </w:pPr>
      <w:r>
        <w:t xml:space="preserve">Supplementary Figure 2:  </w:t>
      </w:r>
      <w:r>
        <w:rPr>
          <w:b/>
          <w:bCs/>
          <w:i w:val="0"/>
          <w:iCs w:val="0"/>
        </w:rPr>
        <w:t xml:space="preserve">Hatch rate of eggs laid by </w:t>
      </w:r>
      <w:r w:rsidRPr="003966EB">
        <w:rPr>
          <w:b/>
          <w:bCs/>
          <w:iCs w:val="0"/>
        </w:rPr>
        <w:t xml:space="preserve">Anopheles </w:t>
      </w:r>
      <w:r>
        <w:rPr>
          <w:b/>
          <w:bCs/>
          <w:i w:val="0"/>
          <w:iCs w:val="0"/>
        </w:rPr>
        <w:t xml:space="preserve">collected </w:t>
      </w:r>
      <w:r>
        <w:rPr>
          <w:b/>
          <w:bCs/>
          <w:i w:val="0"/>
          <w:iCs w:val="0"/>
          <w:sz w:val="23"/>
          <w:szCs w:val="23"/>
        </w:rPr>
        <w:t>before and after the distribution of PPF-ITNs replaced pyrethroid only ITNs</w:t>
      </w:r>
      <w:r>
        <w:rPr>
          <w:b/>
          <w:bCs/>
          <w:i w:val="0"/>
          <w:iCs w:val="0"/>
        </w:rPr>
        <w:t>.</w:t>
      </w:r>
      <w:r>
        <w:rPr>
          <w:i w:val="0"/>
          <w:iCs w:val="0"/>
        </w:rPr>
        <w:t xml:space="preserve">  </w:t>
      </w:r>
      <w:r>
        <w:rPr>
          <w:i w:val="0"/>
          <w:iCs w:val="0"/>
          <w:sz w:val="23"/>
          <w:szCs w:val="23"/>
        </w:rPr>
        <w:t>The hatch rate was measured as the percentage of eggs that reached second instar larvae over the total number of eggs laid. Error bars: 95% CI. The P value for difference of proportion of oviposited eggs that hatched, before and after net distribution. Significant differences between collections within each village are shown over each bar.</w:t>
      </w:r>
    </w:p>
    <w:p w14:paraId="7CD747F8" w14:textId="77777777" w:rsidR="009E0ACB" w:rsidRDefault="009E0ACB"/>
    <w:sectPr w:rsidR="009E0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6C"/>
    <w:rsid w:val="002E146C"/>
    <w:rsid w:val="004F0BD5"/>
    <w:rsid w:val="009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F515"/>
  <w15:chartTrackingRefBased/>
  <w15:docId w15:val="{108286F3-6CE8-4A27-9794-29AD8F8E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6C"/>
    <w:pPr>
      <w:suppressAutoHyphens/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2E14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unhideWhenUsed/>
    <w:qFormat/>
    <w:rsid w:val="002E146C"/>
    <w:pPr>
      <w:suppressLineNumbers/>
      <w:spacing w:before="120" w:after="120"/>
    </w:pPr>
    <w:rPr>
      <w:rFonts w:cs="Lohit Devanaga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Ranson</dc:creator>
  <cp:keywords/>
  <dc:description/>
  <cp:lastModifiedBy>Hilary Ranson</cp:lastModifiedBy>
  <cp:revision>1</cp:revision>
  <dcterms:created xsi:type="dcterms:W3CDTF">2021-03-01T20:19:00Z</dcterms:created>
  <dcterms:modified xsi:type="dcterms:W3CDTF">2021-03-01T20:19:00Z</dcterms:modified>
</cp:coreProperties>
</file>