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43" w:rsidRDefault="00C00C43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0C43" w:rsidRPr="00EE4EB3" w:rsidRDefault="00C00C43" w:rsidP="00EE4EB3">
      <w:pPr>
        <w:spacing w:after="0"/>
        <w:rPr>
          <w:sz w:val="6"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1081"/>
        <w:tblW w:w="8476" w:type="dxa"/>
        <w:tblLook w:val="04A0" w:firstRow="1" w:lastRow="0" w:firstColumn="1" w:lastColumn="0" w:noHBand="0" w:noVBand="1"/>
      </w:tblPr>
      <w:tblGrid>
        <w:gridCol w:w="4385"/>
        <w:gridCol w:w="1559"/>
        <w:gridCol w:w="1559"/>
        <w:gridCol w:w="973"/>
      </w:tblGrid>
      <w:tr w:rsidR="00C00C43" w:rsidRPr="00980D49" w:rsidTr="00C00C43">
        <w:tc>
          <w:tcPr>
            <w:tcW w:w="8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C43" w:rsidRDefault="00C00C43" w:rsidP="00EE4EB3">
            <w:pPr>
              <w:rPr>
                <w:b/>
                <w:lang w:val="en-US"/>
              </w:rPr>
            </w:pPr>
          </w:p>
          <w:p w:rsidR="00C00C43" w:rsidRPr="005C4E5D" w:rsidRDefault="00C00C43" w:rsidP="00C00C43">
            <w:pPr>
              <w:rPr>
                <w:b/>
                <w:sz w:val="24"/>
                <w:lang w:val="en-US"/>
              </w:rPr>
            </w:pPr>
            <w:r w:rsidRPr="005C4E5D">
              <w:rPr>
                <w:b/>
                <w:sz w:val="24"/>
                <w:lang w:val="en-US"/>
              </w:rPr>
              <w:t xml:space="preserve">TABLE 1. Baseline characteristics of </w:t>
            </w:r>
            <w:r>
              <w:rPr>
                <w:b/>
                <w:sz w:val="24"/>
                <w:lang w:val="en-US"/>
              </w:rPr>
              <w:t>patients</w:t>
            </w:r>
          </w:p>
          <w:p w:rsidR="00C00C43" w:rsidRPr="005C4E5D" w:rsidRDefault="00C00C43" w:rsidP="00C00C43">
            <w:pPr>
              <w:rPr>
                <w:b/>
                <w:lang w:val="en-US"/>
              </w:rPr>
            </w:pPr>
          </w:p>
        </w:tc>
      </w:tr>
      <w:tr w:rsidR="00C00C43" w:rsidTr="00C00C43">
        <w:tc>
          <w:tcPr>
            <w:tcW w:w="4385" w:type="dxa"/>
            <w:tcBorders>
              <w:left w:val="nil"/>
              <w:bottom w:val="single" w:sz="4" w:space="0" w:color="auto"/>
              <w:right w:val="nil"/>
            </w:tcBorders>
          </w:tcPr>
          <w:p w:rsidR="00C00C43" w:rsidRPr="00DF63D5" w:rsidRDefault="00C00C43" w:rsidP="00C00C4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C00C43" w:rsidRPr="00350B90" w:rsidRDefault="00C00C43" w:rsidP="00C00C43">
            <w:pPr>
              <w:jc w:val="center"/>
              <w:rPr>
                <w:b/>
                <w:bCs/>
              </w:rPr>
            </w:pPr>
            <w:r w:rsidRPr="00350B90">
              <w:rPr>
                <w:b/>
                <w:bCs/>
              </w:rPr>
              <w:t xml:space="preserve">Cases </w:t>
            </w:r>
          </w:p>
          <w:p w:rsidR="00C00C43" w:rsidRPr="00350B90" w:rsidRDefault="00C00C43" w:rsidP="00C00C43">
            <w:pPr>
              <w:jc w:val="center"/>
              <w:rPr>
                <w:b/>
                <w:bCs/>
              </w:rPr>
            </w:pPr>
            <w:r w:rsidRPr="00350B90">
              <w:rPr>
                <w:b/>
                <w:bCs/>
              </w:rPr>
              <w:t>(n=79)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C00C43" w:rsidRPr="00350B90" w:rsidRDefault="00C00C43" w:rsidP="00C00C43">
            <w:pPr>
              <w:jc w:val="center"/>
              <w:rPr>
                <w:b/>
              </w:rPr>
            </w:pPr>
            <w:r w:rsidRPr="00350B90">
              <w:rPr>
                <w:b/>
              </w:rPr>
              <w:t>Controls (n=58)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</w:tcPr>
          <w:p w:rsidR="00C00C43" w:rsidRPr="006D1784" w:rsidRDefault="00C00C43" w:rsidP="00C00C43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C00C43" w:rsidTr="00C00C43">
        <w:tc>
          <w:tcPr>
            <w:tcW w:w="4385" w:type="dxa"/>
            <w:tcBorders>
              <w:left w:val="nil"/>
              <w:bottom w:val="nil"/>
              <w:right w:val="nil"/>
            </w:tcBorders>
          </w:tcPr>
          <w:p w:rsidR="00C00C43" w:rsidRPr="006D1784" w:rsidRDefault="00C00C43" w:rsidP="00C00C43">
            <w:pPr>
              <w:rPr>
                <w:b/>
                <w:lang w:val="en-US"/>
              </w:rPr>
            </w:pPr>
            <w:r w:rsidRPr="006D1784">
              <w:rPr>
                <w:b/>
                <w:lang w:val="en-US"/>
              </w:rPr>
              <w:t xml:space="preserve">Age in years </w:t>
            </w:r>
            <w:r w:rsidRPr="006D1784">
              <w:rPr>
                <w:rFonts w:ascii="Symbol" w:eastAsia="Symbol" w:hAnsi="Symbol" w:cs="Symbol"/>
                <w:b/>
              </w:rPr>
              <w:t></w:t>
            </w:r>
            <w:r w:rsidRPr="006D1784">
              <w:rPr>
                <w:b/>
                <w:lang w:val="en-US"/>
              </w:rPr>
              <w:t>m (IQR)</w:t>
            </w:r>
            <w:r w:rsidRPr="006D1784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4.1 (1.7-7.5)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5.2 (2.1-9.3)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0.193</w:t>
            </w:r>
          </w:p>
        </w:tc>
      </w:tr>
      <w:tr w:rsidR="00C00C43" w:rsidRPr="008C48C9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8C48C9" w:rsidRDefault="00C00C43" w:rsidP="00C00C43">
            <w:pPr>
              <w:rPr>
                <w:b/>
                <w:bCs/>
                <w:lang w:val="en-US"/>
              </w:rPr>
            </w:pPr>
            <w:r w:rsidRPr="008C48C9">
              <w:rPr>
                <w:b/>
                <w:bCs/>
                <w:lang w:val="en-US"/>
              </w:rPr>
              <w:t>Male [no. (%)</w:t>
            </w:r>
            <w:r>
              <w:rPr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 (</w:t>
            </w:r>
            <w:r w:rsidRPr="008C48C9">
              <w:rPr>
                <w:lang w:val="en-US"/>
              </w:rPr>
              <w:t>78.5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(</w:t>
            </w:r>
            <w:r w:rsidRPr="008C48C9">
              <w:rPr>
                <w:lang w:val="en-US"/>
              </w:rPr>
              <w:t>62.1</w:t>
            </w:r>
            <w:r>
              <w:rPr>
                <w:lang w:val="en-US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8C48C9" w:rsidRDefault="00C00C43" w:rsidP="00C00C43">
            <w:pPr>
              <w:jc w:val="center"/>
              <w:rPr>
                <w:b/>
                <w:lang w:val="en-US"/>
              </w:rPr>
            </w:pPr>
            <w:r w:rsidRPr="008C48C9">
              <w:rPr>
                <w:b/>
                <w:lang w:val="en-US"/>
              </w:rPr>
              <w:t>0.035</w:t>
            </w:r>
          </w:p>
        </w:tc>
      </w:tr>
      <w:tr w:rsidR="00C00C43" w:rsidRPr="008C48C9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6D1784" w:rsidRDefault="00C00C43" w:rsidP="00C00C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Genotype </w:t>
            </w:r>
            <w:r w:rsidRPr="008C48C9">
              <w:rPr>
                <w:b/>
                <w:bCs/>
                <w:lang w:val="en-US"/>
              </w:rPr>
              <w:t>[no. (%)</w:t>
            </w:r>
            <w:r>
              <w:rPr>
                <w:b/>
                <w:bCs/>
                <w:lang w:val="en-US"/>
              </w:rPr>
              <w:t>]</w:t>
            </w:r>
          </w:p>
          <w:p w:rsidR="00C00C43" w:rsidRPr="006D1784" w:rsidRDefault="00C00C43" w:rsidP="00C00C43">
            <w:pPr>
              <w:rPr>
                <w:b/>
                <w:lang w:val="en-US"/>
              </w:rPr>
            </w:pPr>
            <w:r w:rsidRPr="006D1784">
              <w:rPr>
                <w:b/>
                <w:lang w:val="en-US"/>
              </w:rPr>
              <w:t xml:space="preserve">    SS</w:t>
            </w:r>
          </w:p>
          <w:p w:rsidR="00C00C43" w:rsidRPr="006D1784" w:rsidRDefault="00C00C43" w:rsidP="00C00C43">
            <w:pPr>
              <w:rPr>
                <w:b/>
                <w:lang w:val="en-US"/>
              </w:rPr>
            </w:pPr>
            <w:r w:rsidRPr="006D1784">
              <w:rPr>
                <w:b/>
                <w:lang w:val="en-US"/>
              </w:rPr>
              <w:t xml:space="preserve">    SC</w:t>
            </w:r>
          </w:p>
          <w:p w:rsidR="00C00C43" w:rsidRPr="006D1784" w:rsidRDefault="00C00C43" w:rsidP="00C00C43">
            <w:pPr>
              <w:rPr>
                <w:b/>
                <w:lang w:val="en-US"/>
              </w:rPr>
            </w:pPr>
            <w:r w:rsidRPr="006D1784">
              <w:rPr>
                <w:b/>
                <w:lang w:val="en-US"/>
              </w:rPr>
              <w:t xml:space="preserve">    </w:t>
            </w:r>
            <w:r w:rsidRPr="006D1784">
              <w:rPr>
                <w:rFonts w:cstheme="minorHAnsi"/>
                <w:b/>
                <w:lang w:val="en-US"/>
              </w:rPr>
              <w:t>S</w:t>
            </w:r>
            <w:r w:rsidRPr="006D1784">
              <w:rPr>
                <w:rFonts w:ascii="Symbol" w:eastAsia="Symbol" w:hAnsi="Symbol" w:cstheme="minorHAnsi"/>
                <w:b/>
              </w:rPr>
              <w:t></w:t>
            </w:r>
            <w:r w:rsidRPr="006D1784">
              <w:rPr>
                <w:rStyle w:val="Strong"/>
                <w:rFonts w:cstheme="minorHAnsi"/>
                <w:i/>
                <w:iCs/>
                <w:shd w:val="clear" w:color="auto" w:fill="FFFFFF"/>
                <w:lang w:val="en-US"/>
              </w:rPr>
              <w:t>-</w:t>
            </w:r>
            <w:r w:rsidRPr="006D1784">
              <w:rPr>
                <w:rStyle w:val="Emphasis"/>
                <w:rFonts w:cstheme="minorHAnsi"/>
                <w:shd w:val="clear" w:color="auto" w:fill="FFFFFF"/>
                <w:lang w:val="en-US"/>
              </w:rPr>
              <w:t>thalassemia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C50DE7" w:rsidRDefault="00C00C43" w:rsidP="00C00C43">
            <w:pPr>
              <w:jc w:val="center"/>
              <w:rPr>
                <w:lang w:val="en-US"/>
              </w:rPr>
            </w:pPr>
          </w:p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 (</w:t>
            </w:r>
            <w:r w:rsidRPr="008C48C9">
              <w:rPr>
                <w:lang w:val="en-US"/>
              </w:rPr>
              <w:t>86.1</w:t>
            </w:r>
            <w:r>
              <w:rPr>
                <w:lang w:val="en-US"/>
              </w:rPr>
              <w:t>)</w:t>
            </w:r>
          </w:p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</w:t>
            </w:r>
            <w:r w:rsidRPr="008C48C9">
              <w:rPr>
                <w:lang w:val="en-US"/>
              </w:rPr>
              <w:t>6.3</w:t>
            </w:r>
            <w:r>
              <w:rPr>
                <w:lang w:val="en-US"/>
              </w:rPr>
              <w:t>)</w:t>
            </w:r>
          </w:p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(</w:t>
            </w:r>
            <w:r w:rsidRPr="008C48C9">
              <w:rPr>
                <w:lang w:val="en-US"/>
              </w:rPr>
              <w:t>7.6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8C48C9" w:rsidRDefault="00C00C43" w:rsidP="00C00C43">
            <w:pPr>
              <w:jc w:val="center"/>
              <w:rPr>
                <w:lang w:val="en-US"/>
              </w:rPr>
            </w:pPr>
          </w:p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 (</w:t>
            </w:r>
            <w:r w:rsidRPr="008C48C9">
              <w:rPr>
                <w:lang w:val="en-US"/>
              </w:rPr>
              <w:t>89.7</w:t>
            </w:r>
            <w:r>
              <w:rPr>
                <w:lang w:val="en-US"/>
              </w:rPr>
              <w:t>)</w:t>
            </w:r>
          </w:p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(</w:t>
            </w:r>
            <w:r w:rsidRPr="008C48C9">
              <w:rPr>
                <w:lang w:val="en-US"/>
              </w:rPr>
              <w:t>6.9</w:t>
            </w:r>
            <w:r>
              <w:rPr>
                <w:lang w:val="en-US"/>
              </w:rPr>
              <w:t>)</w:t>
            </w:r>
          </w:p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</w:t>
            </w:r>
            <w:r w:rsidRPr="008C48C9">
              <w:rPr>
                <w:lang w:val="en-US"/>
              </w:rPr>
              <w:t>3.4</w:t>
            </w:r>
            <w:r>
              <w:rPr>
                <w:lang w:val="en-US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8C48C9" w:rsidRDefault="00C00C43" w:rsidP="00C00C43">
            <w:pPr>
              <w:jc w:val="center"/>
              <w:rPr>
                <w:lang w:val="en-US"/>
              </w:rPr>
            </w:pPr>
          </w:p>
          <w:p w:rsidR="00C00C43" w:rsidRPr="008C48C9" w:rsidRDefault="00C00C43" w:rsidP="00C00C43">
            <w:pPr>
              <w:jc w:val="center"/>
              <w:rPr>
                <w:lang w:val="en-US"/>
              </w:rPr>
            </w:pPr>
            <w:r w:rsidRPr="008C48C9">
              <w:rPr>
                <w:lang w:val="en-US"/>
              </w:rPr>
              <w:t>0.592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8C48C9" w:rsidRDefault="00C00C43" w:rsidP="00C00C43">
            <w:pPr>
              <w:rPr>
                <w:b/>
                <w:lang w:val="en-US"/>
              </w:rPr>
            </w:pPr>
            <w:r w:rsidRPr="008C48C9">
              <w:rPr>
                <w:b/>
                <w:lang w:val="en-US"/>
              </w:rPr>
              <w:t xml:space="preserve">Newborn screening </w:t>
            </w:r>
            <w:r w:rsidRPr="008C48C9">
              <w:rPr>
                <w:b/>
                <w:bCs/>
                <w:lang w:val="en-US"/>
              </w:rPr>
              <w:t>[no. (%)</w:t>
            </w:r>
            <w:r>
              <w:rPr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rPr>
                <w:lang w:val="en-US"/>
              </w:rPr>
              <w:t>72 (</w:t>
            </w:r>
            <w:r w:rsidRPr="008C48C9">
              <w:rPr>
                <w:lang w:val="en-US"/>
              </w:rPr>
              <w:t>9</w:t>
            </w:r>
            <w:r>
              <w:t>1.1)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47 (81)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0.084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746F74" w:rsidRDefault="00C00C43" w:rsidP="00C00C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Parents’ origin </w:t>
            </w:r>
            <w:r w:rsidRPr="008C48C9">
              <w:rPr>
                <w:b/>
                <w:bCs/>
                <w:lang w:val="en-US"/>
              </w:rPr>
              <w:t>[no. (%)</w:t>
            </w:r>
            <w:r>
              <w:rPr>
                <w:b/>
                <w:bCs/>
                <w:lang w:val="en-US"/>
              </w:rPr>
              <w:t>]</w:t>
            </w:r>
          </w:p>
          <w:p w:rsidR="00C00C43" w:rsidRPr="00746F74" w:rsidRDefault="00C00C43" w:rsidP="00C00C43">
            <w:pPr>
              <w:rPr>
                <w:b/>
                <w:lang w:val="en-US"/>
              </w:rPr>
            </w:pPr>
            <w:r w:rsidRPr="00746F74">
              <w:rPr>
                <w:b/>
                <w:lang w:val="en-US"/>
              </w:rPr>
              <w:t xml:space="preserve">    Africa</w:t>
            </w:r>
          </w:p>
          <w:p w:rsidR="00C00C43" w:rsidRPr="00221039" w:rsidRDefault="00C00C43" w:rsidP="00C00C43">
            <w:pPr>
              <w:rPr>
                <w:b/>
                <w:lang w:val="en-US"/>
              </w:rPr>
            </w:pPr>
            <w:r w:rsidRPr="00221039">
              <w:rPr>
                <w:b/>
                <w:lang w:val="en-US"/>
              </w:rPr>
              <w:t xml:space="preserve">    America</w:t>
            </w:r>
          </w:p>
          <w:p w:rsidR="00C00C43" w:rsidRPr="00647EFF" w:rsidRDefault="00C00C43" w:rsidP="00C00C43">
            <w:pPr>
              <w:rPr>
                <w:b/>
                <w:lang w:val="en-US"/>
              </w:rPr>
            </w:pPr>
            <w:r w:rsidRPr="00647EFF">
              <w:rPr>
                <w:b/>
                <w:lang w:val="en-US"/>
              </w:rPr>
              <w:t xml:space="preserve">    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6D1784" w:rsidRDefault="00C00C43" w:rsidP="00C00C43">
            <w:pPr>
              <w:jc w:val="center"/>
              <w:rPr>
                <w:lang w:val="en-US"/>
              </w:rPr>
            </w:pPr>
          </w:p>
          <w:p w:rsidR="00C00C43" w:rsidRDefault="00C00C43" w:rsidP="00C00C43">
            <w:pPr>
              <w:jc w:val="center"/>
            </w:pPr>
            <w:r>
              <w:t>33 (41.8)</w:t>
            </w:r>
          </w:p>
          <w:p w:rsidR="00C00C43" w:rsidRDefault="00C00C43" w:rsidP="00C00C43">
            <w:pPr>
              <w:jc w:val="center"/>
            </w:pPr>
            <w:r>
              <w:t>45 (57)</w:t>
            </w:r>
          </w:p>
          <w:p w:rsidR="00C00C43" w:rsidRDefault="00C00C43" w:rsidP="00C00C43">
            <w:pPr>
              <w:jc w:val="center"/>
            </w:pPr>
            <w:r>
              <w:t>1 (1.3)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</w:p>
          <w:p w:rsidR="00C00C43" w:rsidRDefault="00C00C43" w:rsidP="00C00C43">
            <w:pPr>
              <w:jc w:val="center"/>
            </w:pPr>
            <w:r>
              <w:t>42 (72.4)</w:t>
            </w:r>
          </w:p>
          <w:p w:rsidR="00C00C43" w:rsidRDefault="00C00C43" w:rsidP="00C00C43">
            <w:pPr>
              <w:jc w:val="center"/>
            </w:pPr>
            <w:r>
              <w:t>14 (24.1)</w:t>
            </w:r>
          </w:p>
          <w:p w:rsidR="00C00C43" w:rsidRDefault="00C00C43" w:rsidP="00C00C43">
            <w:pPr>
              <w:jc w:val="center"/>
            </w:pPr>
            <w:r>
              <w:t>2 (3.4)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  <w:rPr>
                <w:b/>
                <w:bCs/>
              </w:rPr>
            </w:pPr>
          </w:p>
          <w:p w:rsidR="00C00C43" w:rsidRPr="00196F22" w:rsidRDefault="00C00C43" w:rsidP="00C00C43">
            <w:pPr>
              <w:jc w:val="center"/>
              <w:rPr>
                <w:b/>
                <w:bCs/>
              </w:rPr>
            </w:pPr>
            <w:r w:rsidRPr="119ECCE7">
              <w:rPr>
                <w:b/>
                <w:bCs/>
              </w:rPr>
              <w:t>0.001</w:t>
            </w:r>
          </w:p>
          <w:p w:rsidR="00C00C43" w:rsidRPr="00196F22" w:rsidRDefault="00C00C43" w:rsidP="00C00C43">
            <w:pPr>
              <w:jc w:val="center"/>
              <w:rPr>
                <w:b/>
                <w:bCs/>
              </w:rPr>
            </w:pPr>
          </w:p>
          <w:p w:rsidR="00C00C43" w:rsidRPr="00196F22" w:rsidRDefault="00C00C43" w:rsidP="00C00C43">
            <w:pPr>
              <w:jc w:val="center"/>
              <w:rPr>
                <w:b/>
                <w:bCs/>
              </w:rPr>
            </w:pP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746F74" w:rsidRDefault="00C00C43" w:rsidP="00C00C43">
            <w:pPr>
              <w:rPr>
                <w:b/>
              </w:rPr>
            </w:pPr>
            <w:r w:rsidRPr="00746F74">
              <w:rPr>
                <w:b/>
                <w:lang w:val="en-US"/>
              </w:rPr>
              <w:t xml:space="preserve">Complete vaccination status </w:t>
            </w:r>
            <w:r w:rsidRPr="008C48C9">
              <w:rPr>
                <w:b/>
                <w:bCs/>
                <w:lang w:val="en-US"/>
              </w:rPr>
              <w:t>[no. (%)</w:t>
            </w:r>
            <w:r>
              <w:rPr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70 (88.6)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48 (85.7)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F715FB" w:rsidRDefault="00C00C43" w:rsidP="00C00C43">
            <w:pPr>
              <w:jc w:val="center"/>
            </w:pPr>
            <w:r w:rsidRPr="00F715FB">
              <w:t>0.618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746F74" w:rsidRDefault="00C00C43" w:rsidP="00C00C43">
            <w:pPr>
              <w:rPr>
                <w:b/>
              </w:rPr>
            </w:pPr>
            <w:r w:rsidRPr="00746F74">
              <w:rPr>
                <w:b/>
                <w:lang w:val="en-US"/>
              </w:rPr>
              <w:t xml:space="preserve">Penicillin prophylaxis </w:t>
            </w:r>
            <w:r w:rsidRPr="008C48C9">
              <w:rPr>
                <w:b/>
                <w:bCs/>
                <w:lang w:val="en-US"/>
              </w:rPr>
              <w:t>[no. (%)</w:t>
            </w:r>
            <w:r>
              <w:rPr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76 (98.7)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53 (91.4)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0.084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746F74" w:rsidRDefault="00C00C43" w:rsidP="00C00C43">
            <w:pPr>
              <w:rPr>
                <w:b/>
              </w:rPr>
            </w:pPr>
            <w:r w:rsidRPr="00746F74">
              <w:rPr>
                <w:b/>
                <w:lang w:val="en-US"/>
              </w:rPr>
              <w:t xml:space="preserve">Hydroxyurea </w:t>
            </w:r>
            <w:r w:rsidRPr="008C48C9">
              <w:rPr>
                <w:b/>
                <w:bCs/>
                <w:lang w:val="en-US"/>
              </w:rPr>
              <w:t>[no. (%)</w:t>
            </w:r>
            <w:r>
              <w:rPr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39 (49.4)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33 (56.9)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0.132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A9418F" w:rsidRDefault="00C00C43" w:rsidP="00C00C43">
            <w:pPr>
              <w:rPr>
                <w:b/>
              </w:rPr>
            </w:pPr>
            <w:r w:rsidRPr="00A9418F">
              <w:rPr>
                <w:b/>
              </w:rPr>
              <w:t>Vitamin D</w:t>
            </w:r>
            <w:r>
              <w:t xml:space="preserve"> </w:t>
            </w:r>
            <w:r w:rsidRPr="00A9418F">
              <w:rPr>
                <w:b/>
              </w:rPr>
              <w:t>supplementa</w:t>
            </w:r>
            <w:r>
              <w:rPr>
                <w:b/>
              </w:rPr>
              <w:t>tion</w:t>
            </w:r>
            <w:r w:rsidRPr="00A9418F">
              <w:rPr>
                <w:b/>
              </w:rPr>
              <w:t xml:space="preserve"> </w:t>
            </w:r>
            <w:r w:rsidRPr="00A9418F">
              <w:rPr>
                <w:b/>
                <w:bCs/>
              </w:rPr>
              <w:t>[no. (%)]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77 (97.5)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56 (96.6)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0.753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6D1784" w:rsidRDefault="00C00C43" w:rsidP="00C00C43">
            <w:pPr>
              <w:rPr>
                <w:b/>
              </w:rPr>
            </w:pPr>
            <w:r>
              <w:rPr>
                <w:b/>
              </w:rPr>
              <w:t>S</w:t>
            </w:r>
            <w:r w:rsidRPr="00746F74">
              <w:rPr>
                <w:b/>
              </w:rPr>
              <w:t>plenectomy</w:t>
            </w:r>
            <w:r>
              <w:rPr>
                <w:b/>
              </w:rPr>
              <w:t xml:space="preserve"> </w:t>
            </w:r>
            <w:r w:rsidRPr="00A9418F">
              <w:rPr>
                <w:b/>
                <w:bCs/>
              </w:rPr>
              <w:t>[no. (%)]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8 (10.1)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4 (6.9)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0.509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746F74" w:rsidRDefault="00C00C43" w:rsidP="00C00C43">
            <w:pPr>
              <w:rPr>
                <w:b/>
              </w:rPr>
            </w:pPr>
            <w:r w:rsidRPr="00A9418F">
              <w:rPr>
                <w:b/>
              </w:rPr>
              <w:t xml:space="preserve">Central venous catheter </w:t>
            </w:r>
            <w:r w:rsidRPr="00A9418F">
              <w:rPr>
                <w:b/>
                <w:bCs/>
              </w:rPr>
              <w:t>[no. (%)]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18 (22.8)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4 (6.9)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45689F" w:rsidRDefault="00C00C43" w:rsidP="00C00C43">
            <w:pPr>
              <w:jc w:val="center"/>
              <w:rPr>
                <w:b/>
              </w:rPr>
            </w:pPr>
            <w:r w:rsidRPr="0045689F">
              <w:rPr>
                <w:b/>
              </w:rPr>
              <w:t>0.012</w:t>
            </w:r>
          </w:p>
        </w:tc>
      </w:tr>
      <w:tr w:rsidR="00C00C43" w:rsidRPr="00954CFB" w:rsidTr="00C00C43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6D1784" w:rsidRDefault="00C00C43" w:rsidP="00C00C43">
            <w:pPr>
              <w:rPr>
                <w:b/>
              </w:rPr>
            </w:pPr>
            <w:r>
              <w:rPr>
                <w:b/>
              </w:rPr>
              <w:t>H</w:t>
            </w:r>
            <w:r w:rsidRPr="00746F74">
              <w:rPr>
                <w:b/>
              </w:rPr>
              <w:t xml:space="preserve">ypertransfusional </w:t>
            </w:r>
            <w:r w:rsidRPr="00D80E0E">
              <w:rPr>
                <w:b/>
              </w:rPr>
              <w:t xml:space="preserve">regimen </w:t>
            </w:r>
            <w:r w:rsidRPr="00D80E0E">
              <w:rPr>
                <w:b/>
                <w:bCs/>
                <w:lang w:val="en-US"/>
              </w:rPr>
              <w:t>[</w:t>
            </w:r>
            <w:r w:rsidRPr="008C48C9">
              <w:rPr>
                <w:b/>
                <w:bCs/>
                <w:lang w:val="en-US"/>
              </w:rPr>
              <w:t>no. (%)</w:t>
            </w:r>
            <w:r>
              <w:rPr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9 (11.4)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C43" w:rsidRDefault="00C00C43" w:rsidP="00C00C43">
            <w:pPr>
              <w:jc w:val="center"/>
            </w:pPr>
            <w:r>
              <w:t>2 (3.4)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00C43" w:rsidRPr="00F715FB" w:rsidRDefault="00C00C43" w:rsidP="00C00C43">
            <w:pPr>
              <w:jc w:val="center"/>
              <w:rPr>
                <w:highlight w:val="yellow"/>
              </w:rPr>
            </w:pPr>
            <w:r w:rsidRPr="00954CFB">
              <w:t>0.117</w:t>
            </w:r>
          </w:p>
        </w:tc>
      </w:tr>
      <w:tr w:rsidR="00C00C43" w:rsidRPr="00565C4F" w:rsidTr="00C00C43">
        <w:tc>
          <w:tcPr>
            <w:tcW w:w="4385" w:type="dxa"/>
            <w:tcBorders>
              <w:top w:val="nil"/>
              <w:left w:val="nil"/>
              <w:right w:val="nil"/>
            </w:tcBorders>
          </w:tcPr>
          <w:p w:rsidR="00C00C43" w:rsidRPr="00746F74" w:rsidRDefault="00C00C43" w:rsidP="00C00C4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 of p</w:t>
            </w:r>
            <w:r w:rsidRPr="762BBDFA">
              <w:rPr>
                <w:b/>
                <w:bCs/>
                <w:lang w:val="en-US"/>
              </w:rPr>
              <w:t xml:space="preserve">revious hospital admissions </w:t>
            </w:r>
            <w:r w:rsidRPr="762BBDFA">
              <w:rPr>
                <w:rFonts w:ascii="Symbol" w:eastAsia="Symbol" w:hAnsi="Symbol" w:cs="Symbol"/>
                <w:b/>
                <w:bCs/>
              </w:rPr>
              <w:t></w:t>
            </w:r>
            <w:r>
              <w:rPr>
                <w:b/>
                <w:bCs/>
                <w:lang w:val="en-US"/>
              </w:rPr>
              <w:t xml:space="preserve">m </w:t>
            </w:r>
            <w:r w:rsidRPr="762BBDFA">
              <w:rPr>
                <w:b/>
                <w:bCs/>
                <w:lang w:val="en-US"/>
              </w:rPr>
              <w:t>(IQR)</w:t>
            </w:r>
            <w:r w:rsidRPr="762BBDFA">
              <w:rPr>
                <w:rFonts w:ascii="Symbol" w:eastAsia="Symbol" w:hAnsi="Symbol" w:cs="Symbol"/>
                <w:b/>
                <w:bCs/>
              </w:rPr>
              <w:t>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00C43" w:rsidRPr="00565C4F" w:rsidRDefault="00C00C43" w:rsidP="00C00C43">
            <w:pPr>
              <w:jc w:val="center"/>
              <w:rPr>
                <w:lang w:val="en-US"/>
              </w:rPr>
            </w:pPr>
            <w:r w:rsidRPr="00565C4F">
              <w:rPr>
                <w:lang w:val="en-US"/>
              </w:rPr>
              <w:t>6 (2-10.5)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00C43" w:rsidRPr="00565C4F" w:rsidRDefault="00C00C43" w:rsidP="00C00C43">
            <w:pPr>
              <w:jc w:val="center"/>
              <w:rPr>
                <w:lang w:val="en-US"/>
              </w:rPr>
            </w:pPr>
            <w:r w:rsidRPr="00565C4F">
              <w:rPr>
                <w:lang w:val="en-US"/>
              </w:rPr>
              <w:t>5 (2-9)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</w:tcPr>
          <w:p w:rsidR="00C00C43" w:rsidRPr="00565C4F" w:rsidRDefault="00C00C43" w:rsidP="00C00C43">
            <w:pPr>
              <w:jc w:val="center"/>
              <w:rPr>
                <w:lang w:val="en-US"/>
              </w:rPr>
            </w:pPr>
            <w:r w:rsidRPr="00565C4F">
              <w:rPr>
                <w:lang w:val="en-US"/>
              </w:rPr>
              <w:t>0.138</w:t>
            </w:r>
          </w:p>
        </w:tc>
      </w:tr>
    </w:tbl>
    <w:p w:rsidR="00C00C43" w:rsidRDefault="00EE4EB3" w:rsidP="00C00C43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 xml:space="preserve">   </w:t>
      </w:r>
      <w:r w:rsidR="00C00C43">
        <w:rPr>
          <w:sz w:val="20"/>
          <w:lang w:val="en-US"/>
        </w:rPr>
        <w:t xml:space="preserve"> </w:t>
      </w:r>
      <w:r w:rsidR="00C00C43" w:rsidRPr="00AC134B">
        <w:rPr>
          <w:sz w:val="20"/>
          <w:lang w:val="en-US"/>
        </w:rPr>
        <w:t>m (IQR) = median (interquartile range).</w:t>
      </w:r>
      <w:r w:rsidR="00C00C43">
        <w:rPr>
          <w:sz w:val="20"/>
          <w:lang w:val="en-US"/>
        </w:rPr>
        <w:t xml:space="preserve"> No. = number.</w:t>
      </w:r>
    </w:p>
    <w:p w:rsidR="00CD28B4" w:rsidRDefault="00EE4EB3" w:rsidP="00C00C43">
      <w:pPr>
        <w:tabs>
          <w:tab w:val="left" w:pos="11199"/>
          <w:tab w:val="left" w:pos="11340"/>
        </w:tabs>
        <w:ind w:right="1006"/>
        <w:jc w:val="both"/>
        <w:rPr>
          <w:rStyle w:val="Emphasis"/>
          <w:rFonts w:cstheme="minorHAnsi"/>
          <w:i w:val="0"/>
          <w:sz w:val="20"/>
          <w:szCs w:val="18"/>
          <w:shd w:val="clear" w:color="auto" w:fill="FFFFFF"/>
          <w:lang w:val="en-US"/>
        </w:rPr>
      </w:pPr>
      <w:r>
        <w:rPr>
          <w:rStyle w:val="Emphasis"/>
          <w:rFonts w:cstheme="minorHAnsi"/>
          <w:i w:val="0"/>
          <w:sz w:val="20"/>
          <w:szCs w:val="18"/>
          <w:shd w:val="clear" w:color="auto" w:fill="FFFFFF"/>
          <w:lang w:val="en-US"/>
        </w:rPr>
        <w:t xml:space="preserve">   </w:t>
      </w:r>
      <w:r w:rsidR="00C00C43" w:rsidRPr="00EE4EB3">
        <w:rPr>
          <w:rStyle w:val="Emphasis"/>
          <w:rFonts w:cstheme="minorHAnsi"/>
          <w:i w:val="0"/>
          <w:sz w:val="20"/>
          <w:szCs w:val="18"/>
          <w:shd w:val="clear" w:color="auto" w:fill="FFFFFF"/>
          <w:lang w:val="en-US"/>
        </w:rPr>
        <w:t xml:space="preserve"> Variables with significant differences (p value &lt; 0.05) are highlighted in bold font.</w:t>
      </w:r>
    </w:p>
    <w:p w:rsidR="00CD28B4" w:rsidRDefault="00CD28B4">
      <w:pPr>
        <w:rPr>
          <w:rStyle w:val="Emphasis"/>
          <w:rFonts w:cstheme="minorHAnsi"/>
          <w:i w:val="0"/>
          <w:sz w:val="20"/>
          <w:szCs w:val="18"/>
          <w:shd w:val="clear" w:color="auto" w:fill="FFFFFF"/>
          <w:lang w:val="en-US"/>
        </w:rPr>
      </w:pPr>
      <w:r>
        <w:rPr>
          <w:rStyle w:val="Emphasis"/>
          <w:rFonts w:cstheme="minorHAnsi"/>
          <w:i w:val="0"/>
          <w:sz w:val="20"/>
          <w:szCs w:val="18"/>
          <w:shd w:val="clear" w:color="auto" w:fill="FFFFFF"/>
          <w:lang w:val="en-US"/>
        </w:rPr>
        <w:br w:type="page"/>
      </w:r>
    </w:p>
    <w:tbl>
      <w:tblPr>
        <w:tblStyle w:val="TableGrid"/>
        <w:tblpPr w:leftFromText="141" w:rightFromText="141" w:vertAnchor="text" w:horzAnchor="page" w:tblpX="375" w:tblpY="181"/>
        <w:tblW w:w="11304" w:type="dxa"/>
        <w:tblLook w:val="04A0" w:firstRow="1" w:lastRow="0" w:firstColumn="1" w:lastColumn="0" w:noHBand="0" w:noVBand="1"/>
      </w:tblPr>
      <w:tblGrid>
        <w:gridCol w:w="72"/>
        <w:gridCol w:w="3556"/>
        <w:gridCol w:w="80"/>
        <w:gridCol w:w="1656"/>
        <w:gridCol w:w="1656"/>
        <w:gridCol w:w="144"/>
        <w:gridCol w:w="1620"/>
        <w:gridCol w:w="1620"/>
        <w:gridCol w:w="179"/>
        <w:gridCol w:w="721"/>
      </w:tblGrid>
      <w:tr w:rsidR="00CD28B4" w:rsidRPr="00FA2AB3" w:rsidTr="00CD28B4">
        <w:trPr>
          <w:gridBefore w:val="1"/>
          <w:wBefore w:w="72" w:type="dxa"/>
        </w:trPr>
        <w:tc>
          <w:tcPr>
            <w:tcW w:w="11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8B4" w:rsidRPr="0077374A" w:rsidRDefault="00CD28B4" w:rsidP="00CD28B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 xml:space="preserve">  </w:t>
            </w:r>
            <w:r w:rsidRPr="0077374A">
              <w:rPr>
                <w:b/>
                <w:sz w:val="24"/>
                <w:lang w:val="en-US"/>
              </w:rPr>
              <w:t>TABLE 2. Characteristics of cases during the febrile episode</w:t>
            </w:r>
            <w:r>
              <w:rPr>
                <w:b/>
                <w:sz w:val="24"/>
                <w:lang w:val="en-US"/>
              </w:rPr>
              <w:t xml:space="preserve"> and differences among study subgroups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28B4" w:rsidRPr="0077374A" w:rsidRDefault="00CD28B4" w:rsidP="00CD28B4">
            <w:pPr>
              <w:rPr>
                <w:b/>
                <w:lang w:val="en-US"/>
              </w:rPr>
            </w:pPr>
          </w:p>
        </w:tc>
        <w:tc>
          <w:tcPr>
            <w:tcW w:w="17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28B4" w:rsidRPr="00FB4708" w:rsidRDefault="00CD28B4" w:rsidP="00CD28B4">
            <w:pPr>
              <w:jc w:val="center"/>
              <w:rPr>
                <w:b/>
              </w:rPr>
            </w:pPr>
            <w:r w:rsidRPr="00FB4708">
              <w:rPr>
                <w:b/>
              </w:rPr>
              <w:t>All cases (n=79)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28B4" w:rsidRPr="00FB4708" w:rsidRDefault="00CD28B4" w:rsidP="00CD28B4">
            <w:pPr>
              <w:jc w:val="center"/>
              <w:rPr>
                <w:b/>
              </w:rPr>
            </w:pPr>
            <w:r w:rsidRPr="00FB4708">
              <w:rPr>
                <w:b/>
              </w:rPr>
              <w:t>SBI (n=4)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CD28B4" w:rsidRPr="00FB4708" w:rsidRDefault="00CD28B4" w:rsidP="00CD28B4">
            <w:pPr>
              <w:jc w:val="center"/>
              <w:rPr>
                <w:b/>
              </w:rPr>
            </w:pPr>
            <w:r>
              <w:rPr>
                <w:b/>
              </w:rPr>
              <w:t>VI (n=</w:t>
            </w:r>
            <w:r w:rsidRPr="003D297E">
              <w:rPr>
                <w:b/>
              </w:rPr>
              <w:t>41</w:t>
            </w:r>
            <w:r w:rsidRPr="00FB4708">
              <w:rPr>
                <w:b/>
              </w:rPr>
              <w:t>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CD28B4" w:rsidRPr="00FB4708" w:rsidRDefault="00CD28B4" w:rsidP="00CD28B4">
            <w:pPr>
              <w:jc w:val="center"/>
              <w:rPr>
                <w:b/>
              </w:rPr>
            </w:pPr>
            <w:r>
              <w:rPr>
                <w:b/>
              </w:rPr>
              <w:t>NPI</w:t>
            </w:r>
            <w:r w:rsidRPr="00FB4708">
              <w:rPr>
                <w:b/>
              </w:rPr>
              <w:t xml:space="preserve"> (n=33)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28B4" w:rsidRPr="00FB4708" w:rsidRDefault="00CD28B4" w:rsidP="00CD28B4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CD28B4" w:rsidRPr="00550C6C" w:rsidTr="00CD28B4">
        <w:tc>
          <w:tcPr>
            <w:tcW w:w="1130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28B4" w:rsidRPr="007B7519" w:rsidRDefault="00CD28B4" w:rsidP="00CD28B4">
            <w:pPr>
              <w:rPr>
                <w:highlight w:val="yellow"/>
                <w:lang w:val="en-US"/>
              </w:rPr>
            </w:pPr>
            <w:r>
              <w:rPr>
                <w:b/>
                <w:lang w:val="en-US"/>
              </w:rPr>
              <w:t>Clinical presentation</w:t>
            </w:r>
            <w:r w:rsidRPr="00D87F1C">
              <w:rPr>
                <w:b/>
                <w:lang w:val="en-US"/>
              </w:rPr>
              <w:t xml:space="preserve"> </w:t>
            </w:r>
          </w:p>
        </w:tc>
      </w:tr>
      <w:tr w:rsidR="00CD28B4" w:rsidTr="00CD28B4">
        <w:tc>
          <w:tcPr>
            <w:tcW w:w="3708" w:type="dxa"/>
            <w:gridSpan w:val="3"/>
            <w:tcBorders>
              <w:left w:val="nil"/>
              <w:bottom w:val="nil"/>
              <w:right w:val="nil"/>
            </w:tcBorders>
          </w:tcPr>
          <w:p w:rsidR="00CD28B4" w:rsidRPr="00A10E5F" w:rsidRDefault="00CD28B4" w:rsidP="00CD28B4">
            <w:pPr>
              <w:rPr>
                <w:b/>
                <w:bCs/>
                <w:lang w:val="en-US"/>
              </w:rPr>
            </w:pPr>
            <w:r w:rsidRPr="73316BAD">
              <w:rPr>
                <w:b/>
                <w:bCs/>
                <w:lang w:val="en-US"/>
              </w:rPr>
              <w:t xml:space="preserve">Previous days of fever </w:t>
            </w:r>
            <w:r w:rsidRPr="73316BAD">
              <w:rPr>
                <w:rFonts w:ascii="Symbol" w:eastAsia="Symbol" w:hAnsi="Symbol" w:cs="Symbol"/>
                <w:b/>
                <w:bCs/>
              </w:rPr>
              <w:t></w:t>
            </w:r>
            <w:r w:rsidRPr="73316BAD">
              <w:rPr>
                <w:b/>
                <w:bCs/>
                <w:lang w:val="en-US"/>
              </w:rPr>
              <w:t>m (IQR)</w:t>
            </w:r>
            <w:r w:rsidRPr="73316BAD">
              <w:rPr>
                <w:rFonts w:ascii="Symbol" w:eastAsia="Symbol" w:hAnsi="Symbol" w:cs="Symbol"/>
                <w:b/>
                <w:bCs/>
              </w:rPr>
              <w:t>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 (1-1)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 (1-2)</w:t>
            </w:r>
          </w:p>
        </w:tc>
        <w:tc>
          <w:tcPr>
            <w:tcW w:w="1764" w:type="dxa"/>
            <w:gridSpan w:val="2"/>
            <w:tcBorders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 (1-2)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D28B4" w:rsidRPr="00F8174F" w:rsidRDefault="00CD28B4" w:rsidP="00CD28B4">
            <w:pPr>
              <w:jc w:val="center"/>
            </w:pPr>
            <w:r>
              <w:t>1 (1-1)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</w:pPr>
            <w:r w:rsidRPr="003D297E">
              <w:t>0.459</w:t>
            </w:r>
          </w:p>
        </w:tc>
      </w:tr>
      <w:tr w:rsidR="00CD28B4" w:rsidRPr="006D1EB7" w:rsidTr="00CD28B4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Max.</w:t>
            </w:r>
            <w:r w:rsidRPr="006D1EB7">
              <w:rPr>
                <w:b/>
                <w:lang w:val="en-US"/>
              </w:rPr>
              <w:t xml:space="preserve"> temperature </w:t>
            </w:r>
            <w:r w:rsidRPr="006D1EB7">
              <w:rPr>
                <w:rFonts w:ascii="Symbol" w:eastAsia="Symbol" w:hAnsi="Symbol" w:cs="Symbol"/>
                <w:b/>
              </w:rPr>
              <w:t></w:t>
            </w:r>
            <w:r w:rsidRPr="006D1EB7">
              <w:rPr>
                <w:b/>
                <w:lang w:val="en-US"/>
              </w:rPr>
              <w:t>m (IQR)</w:t>
            </w:r>
            <w:r w:rsidRPr="006D1EB7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 w:rsidRPr="006D1EB7">
              <w:rPr>
                <w:lang w:val="en-US"/>
              </w:rPr>
              <w:t>38.8 (38.4-39.1)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 w:rsidRPr="006D1EB7">
              <w:rPr>
                <w:lang w:val="en-US"/>
              </w:rPr>
              <w:t>39.1 (38.9-39.2)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 w:rsidRPr="006D1EB7">
              <w:rPr>
                <w:lang w:val="en-US"/>
              </w:rPr>
              <w:t>38.7 (38.3-39.2)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 w:rsidRPr="006D1EB7">
              <w:rPr>
                <w:lang w:val="en-US"/>
              </w:rPr>
              <w:t>38.8 (38.5-39)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lang w:val="en-US"/>
              </w:rPr>
            </w:pPr>
            <w:r w:rsidRPr="003D297E">
              <w:rPr>
                <w:lang w:val="en-US"/>
              </w:rPr>
              <w:t>0.430</w:t>
            </w:r>
          </w:p>
        </w:tc>
      </w:tr>
      <w:tr w:rsidR="00CD28B4" w:rsidRPr="00326487" w:rsidTr="00CD28B4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rPr>
                <w:b/>
                <w:lang w:val="en-US"/>
              </w:rPr>
            </w:pPr>
            <w:r w:rsidRPr="006D1EB7">
              <w:rPr>
                <w:b/>
                <w:lang w:val="en-US"/>
              </w:rPr>
              <w:t xml:space="preserve">Upper respiratory symptoms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 (</w:t>
            </w:r>
            <w:r w:rsidRPr="006D1EB7">
              <w:rPr>
                <w:lang w:val="en-US"/>
              </w:rPr>
              <w:t>62</w:t>
            </w:r>
            <w:r>
              <w:rPr>
                <w:lang w:val="en-US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</w:t>
            </w:r>
            <w:r w:rsidRPr="006D1EB7">
              <w:rPr>
                <w:lang w:val="en-US"/>
              </w:rPr>
              <w:t>50</w:t>
            </w:r>
            <w:r>
              <w:rPr>
                <w:lang w:val="en-US"/>
              </w:rPr>
              <w:t>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(80</w:t>
            </w:r>
            <w:r w:rsidRPr="006D1EB7">
              <w:rPr>
                <w:lang w:val="en-US"/>
              </w:rPr>
              <w:t>.5</w:t>
            </w:r>
            <w:r>
              <w:rPr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D1EB7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(</w:t>
            </w:r>
            <w:r w:rsidRPr="006D1EB7">
              <w:rPr>
                <w:lang w:val="en-US"/>
              </w:rPr>
              <w:t>42.4</w:t>
            </w:r>
            <w:r>
              <w:rPr>
                <w:lang w:val="en-US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b/>
                <w:lang w:val="en-US"/>
              </w:rPr>
            </w:pPr>
            <w:r w:rsidRPr="003D297E">
              <w:rPr>
                <w:b/>
                <w:lang w:val="en-US"/>
              </w:rPr>
              <w:t>0.003</w:t>
            </w:r>
          </w:p>
        </w:tc>
      </w:tr>
      <w:tr w:rsidR="00CD28B4" w:rsidRPr="00326487" w:rsidTr="00CD28B4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rPr>
                <w:b/>
                <w:lang w:val="en-US"/>
              </w:rPr>
            </w:pPr>
            <w:r w:rsidRPr="00326487">
              <w:rPr>
                <w:b/>
                <w:lang w:val="en-US"/>
              </w:rPr>
              <w:t xml:space="preserve">Hemodynamic instability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</w:t>
            </w:r>
            <w:r w:rsidRPr="00326487">
              <w:rPr>
                <w:lang w:val="en-US"/>
              </w:rPr>
              <w:t>2.5</w:t>
            </w:r>
            <w:r>
              <w:rPr>
                <w:lang w:val="en-US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</w:t>
            </w:r>
            <w:r w:rsidRPr="00326487">
              <w:rPr>
                <w:lang w:val="en-US"/>
              </w:rPr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</w:t>
            </w:r>
            <w:r w:rsidRPr="00326487">
              <w:rPr>
                <w:lang w:val="en-US"/>
              </w:rPr>
              <w:t>2.4</w:t>
            </w:r>
            <w:r>
              <w:rPr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jc w:val="center"/>
              <w:rPr>
                <w:highlight w:val="yellow"/>
                <w:lang w:val="en-US"/>
              </w:rPr>
            </w:pPr>
            <w:r w:rsidRPr="00326487"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jc w:val="center"/>
              <w:rPr>
                <w:b/>
                <w:lang w:val="en-US"/>
              </w:rPr>
            </w:pPr>
            <w:r w:rsidRPr="00326487">
              <w:rPr>
                <w:b/>
                <w:lang w:val="en-US"/>
              </w:rPr>
              <w:t>0.012</w:t>
            </w:r>
          </w:p>
        </w:tc>
      </w:tr>
      <w:tr w:rsidR="00CD28B4" w:rsidRPr="00326487" w:rsidTr="00CD28B4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spacing w:after="80"/>
              <w:rPr>
                <w:b/>
                <w:lang w:val="en-US"/>
              </w:rPr>
            </w:pPr>
            <w:r w:rsidRPr="00326487">
              <w:rPr>
                <w:b/>
                <w:lang w:val="en-US"/>
              </w:rPr>
              <w:t xml:space="preserve">Hypoxemia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spacing w:after="80"/>
              <w:jc w:val="center"/>
              <w:rPr>
                <w:lang w:val="en-US"/>
              </w:rPr>
            </w:pPr>
            <w:r>
              <w:rPr>
                <w:lang w:val="en-US"/>
              </w:rPr>
              <w:t>10 (</w:t>
            </w:r>
            <w:r w:rsidRPr="00326487">
              <w:rPr>
                <w:lang w:val="en-US"/>
              </w:rPr>
              <w:t>12.7</w:t>
            </w:r>
            <w:r>
              <w:rPr>
                <w:lang w:val="en-US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spacing w:after="80"/>
              <w:jc w:val="center"/>
              <w:rPr>
                <w:lang w:val="en-US"/>
              </w:rPr>
            </w:pPr>
            <w:r w:rsidRPr="00326487">
              <w:rPr>
                <w:lang w:val="en-US"/>
              </w:rPr>
              <w:t>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spacing w:after="80"/>
              <w:jc w:val="center"/>
              <w:rPr>
                <w:lang w:val="en-US"/>
              </w:rPr>
            </w:pPr>
            <w:r>
              <w:rPr>
                <w:lang w:val="en-US"/>
              </w:rPr>
              <w:t>4 (</w:t>
            </w:r>
            <w:r w:rsidRPr="00326487">
              <w:rPr>
                <w:lang w:val="en-US"/>
              </w:rPr>
              <w:t>9.8</w:t>
            </w:r>
            <w:r>
              <w:rPr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spacing w:after="8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6 (</w:t>
            </w:r>
            <w:r w:rsidRPr="00326487">
              <w:rPr>
                <w:lang w:val="en-US"/>
              </w:rPr>
              <w:t>18.2</w:t>
            </w:r>
            <w:r>
              <w:rPr>
                <w:lang w:val="en-US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26487" w:rsidRDefault="00CD28B4" w:rsidP="00CD28B4">
            <w:pPr>
              <w:spacing w:after="80"/>
              <w:jc w:val="center"/>
              <w:rPr>
                <w:lang w:val="en-US"/>
              </w:rPr>
            </w:pPr>
            <w:r w:rsidRPr="00326487">
              <w:rPr>
                <w:lang w:val="en-US"/>
              </w:rPr>
              <w:t>0.410</w:t>
            </w:r>
          </w:p>
        </w:tc>
      </w:tr>
      <w:tr w:rsidR="00CD28B4" w:rsidRPr="00550C6C" w:rsidTr="00CD28B4">
        <w:tc>
          <w:tcPr>
            <w:tcW w:w="1130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28B4" w:rsidRPr="003D297E" w:rsidRDefault="00CD28B4" w:rsidP="00CD28B4">
            <w:pPr>
              <w:rPr>
                <w:lang w:val="en-US"/>
              </w:rPr>
            </w:pPr>
            <w:r w:rsidRPr="003D297E">
              <w:rPr>
                <w:b/>
                <w:lang w:val="en-US"/>
              </w:rPr>
              <w:t>Laboratory parameters</w:t>
            </w:r>
          </w:p>
        </w:tc>
      </w:tr>
      <w:tr w:rsidR="00CD28B4" w:rsidRPr="00AD2B90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A738ED" w:rsidRDefault="00CD28B4" w:rsidP="00CD28B4">
            <w:pPr>
              <w:rPr>
                <w:b/>
                <w:lang w:val="en-US"/>
              </w:rPr>
            </w:pPr>
            <w:r w:rsidRPr="00A738ED">
              <w:rPr>
                <w:b/>
                <w:lang w:val="en-US"/>
              </w:rPr>
              <w:t xml:space="preserve">Initial hemoglobin g/dl </w:t>
            </w:r>
            <w:r w:rsidRPr="00F9469B">
              <w:rPr>
                <w:rFonts w:ascii="Symbol" w:eastAsia="Symbol" w:hAnsi="Symbol" w:cs="Symbol"/>
                <w:b/>
              </w:rPr>
              <w:t></w:t>
            </w:r>
            <w:r w:rsidRPr="00A738ED">
              <w:rPr>
                <w:b/>
                <w:lang w:val="en-US"/>
              </w:rPr>
              <w:t>m (IQR)</w:t>
            </w:r>
            <w:r w:rsidRPr="00F9469B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AD2B90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 (7.5-9.5)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AD2B90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(8.4-9.5)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AD2B90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 (7.4-9.7)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AD2B90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 (7.5-9.5)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lang w:val="en-US"/>
              </w:rPr>
            </w:pPr>
            <w:r w:rsidRPr="003D297E">
              <w:rPr>
                <w:lang w:val="en-US"/>
              </w:rPr>
              <w:t>0.681</w:t>
            </w:r>
          </w:p>
        </w:tc>
      </w:tr>
      <w:tr w:rsidR="00CD28B4" w:rsidRPr="00456F5B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F9469B" w:rsidRDefault="00CD28B4" w:rsidP="00CD28B4">
            <w:pPr>
              <w:rPr>
                <w:b/>
                <w:lang w:val="en-US"/>
              </w:rPr>
            </w:pPr>
            <w:r w:rsidRPr="00F9469B">
              <w:rPr>
                <w:b/>
                <w:lang w:val="en-US"/>
              </w:rPr>
              <w:t>Initial WBC x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lang w:val="en-US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cstheme="minorHAnsi"/>
                      <w:lang w:val="en-US"/>
                    </w:rPr>
                    <m:t>9</m:t>
                  </m:r>
                </m:sup>
              </m:sSup>
            </m:oMath>
            <w:r w:rsidRPr="00F9469B">
              <w:rPr>
                <w:b/>
                <w:lang w:val="en-US"/>
              </w:rPr>
              <w:t xml:space="preserve">/L </w:t>
            </w:r>
            <w:r w:rsidRPr="00F9469B">
              <w:rPr>
                <w:rFonts w:ascii="Symbol" w:eastAsia="Symbol" w:hAnsi="Symbol" w:cs="Symbol"/>
                <w:b/>
              </w:rPr>
              <w:t></w:t>
            </w:r>
            <w:r w:rsidRPr="00F9469B">
              <w:rPr>
                <w:b/>
                <w:lang w:val="en-US"/>
              </w:rPr>
              <w:t>m (IQR)</w:t>
            </w:r>
            <w:r w:rsidRPr="00F9469B">
              <w:rPr>
                <w:rFonts w:ascii="Symbol" w:eastAsia="Symbol" w:hAnsi="Symbol" w:cs="Symbol"/>
                <w:b/>
              </w:rPr>
              <w:t></w:t>
            </w:r>
            <w:r w:rsidRPr="00F9469B">
              <w:rPr>
                <w:b/>
                <w:lang w:val="en-US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13.8 (9.7-21.1)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20.7 (17.6-31.4)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456F5B" w:rsidRDefault="00CD28B4" w:rsidP="00CD28B4">
            <w:pPr>
              <w:jc w:val="center"/>
              <w:rPr>
                <w:lang w:val="en-US"/>
              </w:rPr>
            </w:pPr>
            <w:r w:rsidRPr="00456F5B">
              <w:rPr>
                <w:lang w:val="en-US"/>
              </w:rPr>
              <w:t>11.8 (8.</w:t>
            </w:r>
            <w:r>
              <w:rPr>
                <w:lang w:val="en-US"/>
              </w:rPr>
              <w:t>9-21.2</w:t>
            </w:r>
            <w:r w:rsidRPr="00456F5B">
              <w:rPr>
                <w:lang w:val="en-US"/>
              </w:rPr>
              <w:t>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56F5B" w:rsidRDefault="00CD28B4" w:rsidP="00CD28B4">
            <w:pPr>
              <w:jc w:val="center"/>
              <w:rPr>
                <w:lang w:val="en-US"/>
              </w:rPr>
            </w:pPr>
            <w:r w:rsidRPr="00456F5B">
              <w:rPr>
                <w:lang w:val="en-US"/>
              </w:rPr>
              <w:t>13.9 (10.9-19.8)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lang w:val="en-US"/>
              </w:rPr>
            </w:pPr>
            <w:r w:rsidRPr="003D297E">
              <w:rPr>
                <w:lang w:val="en-US"/>
              </w:rPr>
              <w:t>0.160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F9469B" w:rsidRDefault="00CD28B4" w:rsidP="00CD28B4">
            <w:pPr>
              <w:rPr>
                <w:b/>
                <w:lang w:val="en-US"/>
              </w:rPr>
            </w:pPr>
            <w:r w:rsidRPr="00F9469B">
              <w:rPr>
                <w:b/>
                <w:lang w:val="en-US"/>
              </w:rPr>
              <w:t>Initial neutrophils x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lang w:val="en-US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cstheme="minorHAnsi"/>
                      <w:lang w:val="en-US"/>
                    </w:rPr>
                    <m:t>9</m:t>
                  </m:r>
                </m:sup>
              </m:sSup>
            </m:oMath>
            <w:r w:rsidRPr="00F9469B">
              <w:rPr>
                <w:b/>
                <w:lang w:val="en-US"/>
              </w:rPr>
              <w:t xml:space="preserve">/L </w:t>
            </w:r>
            <w:r w:rsidRPr="00F9469B">
              <w:rPr>
                <w:rFonts w:ascii="Symbol" w:eastAsia="Symbol" w:hAnsi="Symbol" w:cs="Symbol"/>
                <w:b/>
              </w:rPr>
              <w:t></w:t>
            </w:r>
            <w:r w:rsidRPr="00F9469B">
              <w:rPr>
                <w:b/>
                <w:lang w:val="en-US"/>
              </w:rPr>
              <w:t>m (IQR)</w:t>
            </w:r>
            <w:r w:rsidRPr="00F9469B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56F5B" w:rsidRDefault="00CD28B4" w:rsidP="00CD28B4">
            <w:pPr>
              <w:jc w:val="center"/>
              <w:rPr>
                <w:lang w:val="en-US"/>
              </w:rPr>
            </w:pPr>
            <w:r w:rsidRPr="00456F5B">
              <w:rPr>
                <w:lang w:val="en-US"/>
              </w:rPr>
              <w:t>8.1 (5.1-13.8)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56F5B" w:rsidRDefault="00CD28B4" w:rsidP="00CD28B4">
            <w:pPr>
              <w:jc w:val="center"/>
              <w:rPr>
                <w:lang w:val="en-US"/>
              </w:rPr>
            </w:pPr>
            <w:r w:rsidRPr="00456F5B">
              <w:rPr>
                <w:lang w:val="en-US"/>
              </w:rPr>
              <w:t>16.8 (13.9-26.7)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456F5B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(3.7-13.3</w:t>
            </w:r>
            <w:r w:rsidRPr="00456F5B">
              <w:rPr>
                <w:lang w:val="en-US"/>
              </w:rPr>
              <w:t>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 w:rsidRPr="00456F5B">
              <w:rPr>
                <w:lang w:val="en-US"/>
              </w:rPr>
              <w:t>7.8 (6</w:t>
            </w:r>
            <w:r>
              <w:t>.1-12.5</w:t>
            </w:r>
            <w:r w:rsidRPr="00001007"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b/>
              </w:rPr>
            </w:pPr>
            <w:r w:rsidRPr="003D297E">
              <w:rPr>
                <w:b/>
              </w:rPr>
              <w:t>0.039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F9469B" w:rsidRDefault="00CD28B4" w:rsidP="00CD28B4">
            <w:pPr>
              <w:rPr>
                <w:b/>
                <w:lang w:val="en-US"/>
              </w:rPr>
            </w:pPr>
            <w:r w:rsidRPr="00F9469B">
              <w:rPr>
                <w:b/>
                <w:lang w:val="en-US"/>
              </w:rPr>
              <w:t xml:space="preserve">Initial CRP mg/dl </w:t>
            </w:r>
            <w:r w:rsidRPr="00F9469B">
              <w:rPr>
                <w:rFonts w:ascii="Symbol" w:eastAsia="Symbol" w:hAnsi="Symbol" w:cs="Symbol"/>
                <w:b/>
              </w:rPr>
              <w:t></w:t>
            </w:r>
            <w:r w:rsidRPr="00F9469B">
              <w:rPr>
                <w:b/>
                <w:lang w:val="en-US"/>
              </w:rPr>
              <w:t>m (IQR)</w:t>
            </w:r>
            <w:r w:rsidRPr="00F9469B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2 (0.4-5.9)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9.6 (7.8-15.1)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1.1 (0.4-3.4)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3.1</w:t>
            </w:r>
            <w:r w:rsidRPr="00001007">
              <w:t xml:space="preserve"> (</w:t>
            </w:r>
            <w:r>
              <w:t>0.6-6</w:t>
            </w:r>
            <w:r w:rsidRPr="00001007"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b/>
              </w:rPr>
            </w:pPr>
            <w:r w:rsidRPr="003D297E">
              <w:rPr>
                <w:b/>
              </w:rPr>
              <w:t>0.007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0626EF" w:rsidRDefault="00CD28B4" w:rsidP="00CD28B4">
            <w:pPr>
              <w:rPr>
                <w:b/>
              </w:rPr>
            </w:pPr>
            <w:r>
              <w:rPr>
                <w:b/>
              </w:rPr>
              <w:t>Max. CRP mg/dl (n= 56</w:t>
            </w:r>
            <w:r w:rsidRPr="000626EF">
              <w:rPr>
                <w:b/>
              </w:rPr>
              <w:t xml:space="preserve">) </w:t>
            </w:r>
            <w:r w:rsidRPr="00F9469B">
              <w:rPr>
                <w:rFonts w:ascii="Symbol" w:eastAsia="Symbol" w:hAnsi="Symbol" w:cs="Symbol"/>
                <w:b/>
              </w:rPr>
              <w:t></w:t>
            </w:r>
            <w:r w:rsidRPr="000626EF">
              <w:rPr>
                <w:b/>
              </w:rPr>
              <w:t>m (IQR)</w:t>
            </w:r>
            <w:r w:rsidRPr="00F9469B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4 (1.1-10.1)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13.5 (12.3-17.9)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3.3 (1-7.2)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5.2</w:t>
            </w:r>
            <w:r w:rsidRPr="00001007">
              <w:t xml:space="preserve"> (</w:t>
            </w:r>
            <w:r>
              <w:t>1.2-9.4</w:t>
            </w:r>
            <w:r w:rsidRPr="00001007"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b/>
              </w:rPr>
            </w:pPr>
            <w:r w:rsidRPr="003D297E">
              <w:rPr>
                <w:b/>
              </w:rPr>
              <w:t>0.047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F9469B" w:rsidRDefault="00CD28B4" w:rsidP="00CD28B4">
            <w:pPr>
              <w:rPr>
                <w:b/>
                <w:lang w:val="en-US"/>
              </w:rPr>
            </w:pPr>
            <w:r w:rsidRPr="00F9469B">
              <w:rPr>
                <w:b/>
                <w:lang w:val="en-US"/>
              </w:rPr>
              <w:t xml:space="preserve">Initial </w:t>
            </w:r>
            <w:r w:rsidR="00676042">
              <w:rPr>
                <w:rFonts w:cstheme="minorHAnsi"/>
                <w:b/>
                <w:lang w:val="en-US"/>
              </w:rPr>
              <w:t>PCT ng/ml</w:t>
            </w:r>
            <w:r w:rsidRPr="00F9469B">
              <w:rPr>
                <w:b/>
                <w:lang w:val="en-US"/>
              </w:rPr>
              <w:t xml:space="preserve"> </w:t>
            </w:r>
            <w:r w:rsidRPr="00F9469B">
              <w:rPr>
                <w:rFonts w:ascii="Symbol" w:eastAsia="Symbol" w:hAnsi="Symbol" w:cs="Symbol"/>
                <w:b/>
              </w:rPr>
              <w:t></w:t>
            </w:r>
            <w:r w:rsidRPr="00F9469B">
              <w:rPr>
                <w:b/>
                <w:lang w:val="en-US"/>
              </w:rPr>
              <w:t>m (IQR)</w:t>
            </w:r>
            <w:r w:rsidRPr="00F9469B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0.3 (0.2-0.6)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2 (0.8-2.9)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0.4 (0.2-0.6)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0.2</w:t>
            </w:r>
            <w:r w:rsidRPr="00001007">
              <w:t xml:space="preserve"> (</w:t>
            </w:r>
            <w:r>
              <w:t>0.1-0.4</w:t>
            </w:r>
            <w:r w:rsidRPr="00001007"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b/>
              </w:rPr>
            </w:pPr>
            <w:r w:rsidRPr="003D297E">
              <w:rPr>
                <w:b/>
              </w:rPr>
              <w:t>0.036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0626EF" w:rsidRDefault="00CD28B4" w:rsidP="00CD28B4">
            <w:pPr>
              <w:spacing w:after="80"/>
              <w:rPr>
                <w:b/>
              </w:rPr>
            </w:pPr>
            <w:r w:rsidRPr="000626EF">
              <w:rPr>
                <w:b/>
              </w:rPr>
              <w:t xml:space="preserve">Max. </w:t>
            </w:r>
            <w:r w:rsidRPr="000626EF">
              <w:rPr>
                <w:rFonts w:cstheme="minorHAnsi"/>
                <w:b/>
              </w:rPr>
              <w:t xml:space="preserve">PCT ng/ml </w:t>
            </w:r>
            <w:r>
              <w:rPr>
                <w:b/>
              </w:rPr>
              <w:t>(n= 40</w:t>
            </w:r>
            <w:r w:rsidRPr="000626EF">
              <w:rPr>
                <w:b/>
              </w:rPr>
              <w:t xml:space="preserve">) </w:t>
            </w:r>
            <w:r w:rsidRPr="00F9469B">
              <w:rPr>
                <w:rFonts w:ascii="Symbol" w:eastAsia="Symbol" w:hAnsi="Symbol" w:cs="Symbol"/>
                <w:b/>
              </w:rPr>
              <w:t></w:t>
            </w:r>
            <w:r w:rsidRPr="000626EF">
              <w:rPr>
                <w:b/>
              </w:rPr>
              <w:t>m (IQR)</w:t>
            </w:r>
            <w:r w:rsidRPr="00F9469B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spacing w:after="80"/>
              <w:jc w:val="center"/>
            </w:pPr>
            <w:r>
              <w:t>0.5 (0.2-1.4)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spacing w:after="80"/>
              <w:jc w:val="center"/>
            </w:pPr>
            <w:r>
              <w:t>3.1 (1.8-18.9)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spacing w:after="80"/>
              <w:jc w:val="center"/>
            </w:pPr>
            <w:r>
              <w:t>0.6 (0.3-1.3)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spacing w:after="80"/>
              <w:jc w:val="center"/>
            </w:pPr>
            <w:r>
              <w:t>0.3 (0.2-0.5)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spacing w:after="80"/>
              <w:jc w:val="center"/>
              <w:rPr>
                <w:b/>
              </w:rPr>
            </w:pPr>
            <w:r w:rsidRPr="003D297E">
              <w:rPr>
                <w:b/>
              </w:rPr>
              <w:t>0.031</w:t>
            </w:r>
          </w:p>
        </w:tc>
      </w:tr>
      <w:tr w:rsidR="00CD28B4" w:rsidTr="00CD28B4">
        <w:tc>
          <w:tcPr>
            <w:tcW w:w="1130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28B4" w:rsidRPr="003D297E" w:rsidRDefault="00CD28B4" w:rsidP="00CD28B4">
            <w:r w:rsidRPr="003D297E">
              <w:rPr>
                <w:b/>
              </w:rPr>
              <w:t>Outcome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CD28B4" w:rsidRPr="004E0E18" w:rsidRDefault="00CD28B4" w:rsidP="00CD28B4">
            <w:pPr>
              <w:rPr>
                <w:b/>
              </w:rPr>
            </w:pPr>
            <w:r w:rsidRPr="004E0E18">
              <w:rPr>
                <w:b/>
              </w:rPr>
              <w:t xml:space="preserve">Hospital admission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736" w:type="dxa"/>
            <w:gridSpan w:val="2"/>
            <w:tcBorders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64 (81)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4 (100)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29 (70.7)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30 (90.9)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</w:pPr>
            <w:r w:rsidRPr="003D297E">
              <w:t>0.055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E0E18" w:rsidRDefault="00CD28B4" w:rsidP="00CD28B4">
            <w:pPr>
              <w:rPr>
                <w:b/>
              </w:rPr>
            </w:pPr>
            <w:r w:rsidRPr="004E0E18">
              <w:rPr>
                <w:b/>
              </w:rPr>
              <w:t xml:space="preserve">Antibiotic treatment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76 (96.2)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4 (100)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39 (95.1)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F8174F" w:rsidRDefault="00CD28B4" w:rsidP="00CD28B4">
            <w:pPr>
              <w:jc w:val="center"/>
            </w:pPr>
            <w:r>
              <w:t>32 (</w:t>
            </w:r>
            <w:r w:rsidRPr="00F8174F">
              <w:t>97</w:t>
            </w:r>
            <w: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</w:pPr>
            <w:r w:rsidRPr="003D297E">
              <w:t>0.845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CD28B4" w:rsidRDefault="00CD28B4" w:rsidP="00CD28B4">
            <w:pPr>
              <w:rPr>
                <w:b/>
                <w:lang w:val="en-US"/>
              </w:rPr>
            </w:pPr>
            <w:r w:rsidRPr="00326487">
              <w:rPr>
                <w:b/>
                <w:lang w:val="en-US"/>
              </w:rPr>
              <w:t xml:space="preserve">Need for antibiotic change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12 (15.2)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3 (75)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3 (7.5)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F8174F" w:rsidRDefault="00CD28B4" w:rsidP="00CD28B4">
            <w:pPr>
              <w:jc w:val="center"/>
            </w:pPr>
            <w:r>
              <w:t>5 (</w:t>
            </w:r>
            <w:r w:rsidRPr="00F8174F">
              <w:t>15.6</w:t>
            </w:r>
            <w: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b/>
              </w:rPr>
            </w:pPr>
            <w:r w:rsidRPr="003D297E">
              <w:rPr>
                <w:b/>
              </w:rPr>
              <w:t>0.001</w:t>
            </w:r>
          </w:p>
        </w:tc>
      </w:tr>
      <w:tr w:rsidR="00CD28B4" w:rsidRPr="006644BD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E0E18" w:rsidRDefault="00CD28B4" w:rsidP="00CD28B4">
            <w:pPr>
              <w:rPr>
                <w:b/>
                <w:lang w:val="en-US"/>
              </w:rPr>
            </w:pPr>
            <w:r w:rsidRPr="004E0E18">
              <w:rPr>
                <w:b/>
                <w:lang w:val="en-US"/>
              </w:rPr>
              <w:t xml:space="preserve">Final diagnosis of ACS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(</w:t>
            </w:r>
            <w:r w:rsidRPr="006644BD">
              <w:rPr>
                <w:lang w:val="en-US"/>
              </w:rPr>
              <w:t>16.5</w:t>
            </w:r>
            <w:r>
              <w:rPr>
                <w:lang w:val="en-US"/>
              </w:rPr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</w:t>
            </w:r>
            <w:r w:rsidRPr="006644BD">
              <w:rPr>
                <w:lang w:val="en-US"/>
              </w:rPr>
              <w:t>25</w:t>
            </w:r>
            <w:r>
              <w:rPr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</w:t>
            </w:r>
            <w:r w:rsidRPr="006644BD">
              <w:rPr>
                <w:lang w:val="en-US"/>
              </w:rPr>
              <w:t>12.</w:t>
            </w:r>
            <w:r>
              <w:rPr>
                <w:lang w:val="en-US"/>
              </w:rPr>
              <w:t>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(</w:t>
            </w:r>
            <w:r w:rsidRPr="006644BD">
              <w:rPr>
                <w:lang w:val="en-US"/>
              </w:rPr>
              <w:t>21.2</w:t>
            </w:r>
            <w:r>
              <w:rPr>
                <w:lang w:val="en-US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lang w:val="en-US"/>
              </w:rPr>
            </w:pPr>
            <w:r w:rsidRPr="003D297E">
              <w:rPr>
                <w:lang w:val="en-US"/>
              </w:rPr>
              <w:t>0.527</w:t>
            </w:r>
          </w:p>
        </w:tc>
      </w:tr>
      <w:tr w:rsidR="00CD28B4" w:rsidRPr="006644BD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E0E18" w:rsidRDefault="00CD28B4" w:rsidP="00CD28B4">
            <w:pPr>
              <w:rPr>
                <w:b/>
                <w:bCs/>
                <w:lang w:val="en-US"/>
              </w:rPr>
            </w:pPr>
            <w:r w:rsidRPr="73316BAD">
              <w:rPr>
                <w:b/>
                <w:bCs/>
                <w:lang w:val="en-US"/>
              </w:rPr>
              <w:t xml:space="preserve">Final diagnosis of VOC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(8.9)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 w:rsidRPr="006644BD">
              <w:rPr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</w:t>
            </w:r>
            <w:r w:rsidRPr="006644BD">
              <w:rPr>
                <w:lang w:val="en-US"/>
              </w:rPr>
              <w:t>2.</w:t>
            </w:r>
            <w:r>
              <w:rPr>
                <w:lang w:val="en-US"/>
              </w:rPr>
              <w:t>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(</w:t>
            </w:r>
            <w:r w:rsidRPr="006644BD">
              <w:rPr>
                <w:lang w:val="en-US"/>
              </w:rPr>
              <w:t>18.2</w:t>
            </w:r>
            <w:r>
              <w:rPr>
                <w:lang w:val="en-US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  <w:rPr>
                <w:lang w:val="en-US"/>
              </w:rPr>
            </w:pPr>
            <w:r w:rsidRPr="003D297E">
              <w:rPr>
                <w:lang w:val="en-US"/>
              </w:rPr>
              <w:t>0.051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E0E18" w:rsidRDefault="00CD28B4" w:rsidP="00CD28B4">
            <w:pPr>
              <w:rPr>
                <w:b/>
              </w:rPr>
            </w:pPr>
            <w:r w:rsidRPr="004E0E18">
              <w:rPr>
                <w:b/>
              </w:rPr>
              <w:t xml:space="preserve">PICU admission </w:t>
            </w:r>
            <w:r>
              <w:rPr>
                <w:b/>
                <w:lang w:val="en-US"/>
              </w:rPr>
              <w:t xml:space="preserve">[no. </w:t>
            </w:r>
            <w:r w:rsidRPr="006D1EB7">
              <w:rPr>
                <w:b/>
                <w:lang w:val="en-US"/>
              </w:rPr>
              <w:t>(%)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3 (3.8)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1 (2.4)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F8174F" w:rsidRDefault="00CD28B4" w:rsidP="00CD28B4">
            <w:pPr>
              <w:jc w:val="center"/>
            </w:pPr>
            <w:r>
              <w:t>2 (6.1)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</w:pPr>
            <w:r w:rsidRPr="003D297E">
              <w:t>0.665</w:t>
            </w:r>
          </w:p>
        </w:tc>
      </w:tr>
      <w:tr w:rsidR="00CD28B4" w:rsidTr="00CD28B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4E0E18" w:rsidRDefault="00CD28B4" w:rsidP="00CD28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d</w:t>
            </w:r>
            <w:r w:rsidRPr="004E0E18">
              <w:rPr>
                <w:b/>
                <w:lang w:val="en-US"/>
              </w:rPr>
              <w:t xml:space="preserve">ays of fever </w:t>
            </w:r>
            <w:r w:rsidRPr="004E0E18">
              <w:rPr>
                <w:rFonts w:ascii="Symbol" w:eastAsia="Symbol" w:hAnsi="Symbol" w:cs="Symbol"/>
                <w:b/>
              </w:rPr>
              <w:t></w:t>
            </w:r>
            <w:r w:rsidRPr="004E0E18">
              <w:rPr>
                <w:b/>
                <w:lang w:val="en-US"/>
              </w:rPr>
              <w:t>m (IQR)</w:t>
            </w:r>
            <w:r w:rsidRPr="004E0E18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2</w:t>
            </w:r>
            <w:r w:rsidRPr="00C16CB6">
              <w:t xml:space="preserve"> (</w:t>
            </w:r>
            <w:r>
              <w:t>1-4</w:t>
            </w:r>
            <w:r w:rsidRPr="00C16CB6"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2.5 (2-4)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Default="00CD28B4" w:rsidP="00CD28B4">
            <w:pPr>
              <w:jc w:val="center"/>
            </w:pPr>
            <w:r>
              <w:t>2 (2-3)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8B4" w:rsidRPr="006644BD" w:rsidRDefault="00CD28B4" w:rsidP="00CD28B4">
            <w:pPr>
              <w:jc w:val="center"/>
            </w:pPr>
            <w:r>
              <w:t>2 (1-4)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B4" w:rsidRPr="003D297E" w:rsidRDefault="00CD28B4" w:rsidP="00CD28B4">
            <w:pPr>
              <w:jc w:val="center"/>
            </w:pPr>
            <w:r w:rsidRPr="003D297E">
              <w:t>0.749</w:t>
            </w:r>
          </w:p>
        </w:tc>
      </w:tr>
      <w:tr w:rsidR="00CD28B4" w:rsidRPr="006644BD" w:rsidTr="00CD28B4">
        <w:trPr>
          <w:trHeight w:val="279"/>
        </w:trPr>
        <w:tc>
          <w:tcPr>
            <w:tcW w:w="3628" w:type="dxa"/>
            <w:gridSpan w:val="2"/>
            <w:tcBorders>
              <w:top w:val="nil"/>
              <w:left w:val="nil"/>
              <w:right w:val="nil"/>
            </w:tcBorders>
          </w:tcPr>
          <w:p w:rsidR="00CD28B4" w:rsidRPr="004E0E18" w:rsidRDefault="00CD28B4" w:rsidP="00CD28B4">
            <w:pPr>
              <w:spacing w:after="80"/>
              <w:rPr>
                <w:b/>
                <w:lang w:val="en-US"/>
              </w:rPr>
            </w:pPr>
            <w:r w:rsidRPr="004E0E18">
              <w:rPr>
                <w:b/>
                <w:lang w:val="en-US"/>
              </w:rPr>
              <w:t xml:space="preserve">Days of admission </w:t>
            </w:r>
            <w:r w:rsidRPr="004E0E18">
              <w:rPr>
                <w:rFonts w:ascii="Symbol" w:eastAsia="Symbol" w:hAnsi="Symbol" w:cs="Symbol"/>
                <w:b/>
              </w:rPr>
              <w:t></w:t>
            </w:r>
            <w:r w:rsidRPr="004E0E18">
              <w:rPr>
                <w:b/>
                <w:lang w:val="en-US"/>
              </w:rPr>
              <w:t>m (IQR)</w:t>
            </w:r>
            <w:r w:rsidRPr="004E0E18">
              <w:rPr>
                <w:rFonts w:ascii="Symbol" w:eastAsia="Symbol" w:hAnsi="Symbol" w:cs="Symbol"/>
                <w:b/>
              </w:rPr>
              <w:t>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right w:val="nil"/>
            </w:tcBorders>
          </w:tcPr>
          <w:p w:rsidR="00CD28B4" w:rsidRDefault="00CD28B4" w:rsidP="00CD28B4">
            <w:pPr>
              <w:spacing w:after="80"/>
              <w:jc w:val="center"/>
            </w:pPr>
            <w:r>
              <w:t>4 (2-6)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CD28B4" w:rsidRDefault="00CD28B4" w:rsidP="00CD28B4">
            <w:pPr>
              <w:spacing w:after="80"/>
              <w:jc w:val="center"/>
            </w:pPr>
            <w:r>
              <w:t>7.5 (5.5-8.5)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CD28B4" w:rsidRPr="006644BD" w:rsidRDefault="00CD28B4" w:rsidP="00CD28B4">
            <w:pPr>
              <w:spacing w:after="80"/>
              <w:jc w:val="center"/>
              <w:rPr>
                <w:lang w:val="en-US"/>
              </w:rPr>
            </w:pPr>
            <w:r w:rsidRPr="006644BD">
              <w:rPr>
                <w:lang w:val="en-US"/>
              </w:rPr>
              <w:t>3 (0.</w:t>
            </w:r>
            <w:r>
              <w:rPr>
                <w:lang w:val="en-US"/>
              </w:rPr>
              <w:t>5-5</w:t>
            </w:r>
            <w:r w:rsidRPr="006644BD">
              <w:rPr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CD28B4" w:rsidRPr="006644BD" w:rsidRDefault="00CD28B4" w:rsidP="00CD28B4">
            <w:pPr>
              <w:spacing w:after="80"/>
              <w:jc w:val="center"/>
              <w:rPr>
                <w:lang w:val="en-US"/>
              </w:rPr>
            </w:pPr>
            <w:r w:rsidRPr="006644BD">
              <w:rPr>
                <w:lang w:val="en-US"/>
              </w:rPr>
              <w:t>5(2.5-6)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:rsidR="00CD28B4" w:rsidRPr="003D297E" w:rsidRDefault="00CD28B4" w:rsidP="00CD28B4">
            <w:pPr>
              <w:spacing w:after="80"/>
              <w:jc w:val="center"/>
              <w:rPr>
                <w:b/>
                <w:lang w:val="en-US"/>
              </w:rPr>
            </w:pPr>
            <w:r w:rsidRPr="003D297E">
              <w:rPr>
                <w:b/>
                <w:lang w:val="en-US"/>
              </w:rPr>
              <w:t>0.013</w:t>
            </w:r>
          </w:p>
        </w:tc>
      </w:tr>
    </w:tbl>
    <w:p w:rsidR="00CD28B4" w:rsidRPr="00290C35" w:rsidRDefault="00CD28B4" w:rsidP="00CD28B4">
      <w:pPr>
        <w:tabs>
          <w:tab w:val="left" w:pos="11199"/>
          <w:tab w:val="left" w:pos="11340"/>
        </w:tabs>
        <w:spacing w:after="0"/>
        <w:ind w:right="3774"/>
        <w:rPr>
          <w:sz w:val="12"/>
          <w:lang w:val="en-US"/>
        </w:rPr>
      </w:pPr>
    </w:p>
    <w:p w:rsidR="00290C35" w:rsidRPr="00290C35" w:rsidRDefault="00290C35" w:rsidP="00B032B5">
      <w:pPr>
        <w:tabs>
          <w:tab w:val="left" w:pos="11199"/>
          <w:tab w:val="left" w:pos="11340"/>
        </w:tabs>
        <w:spacing w:after="0"/>
        <w:ind w:left="-900" w:right="-1036"/>
        <w:jc w:val="both"/>
        <w:rPr>
          <w:sz w:val="10"/>
          <w:lang w:val="en-US"/>
        </w:rPr>
      </w:pPr>
    </w:p>
    <w:p w:rsidR="00CD28B4" w:rsidRDefault="00CD28B4" w:rsidP="00B032B5">
      <w:pPr>
        <w:tabs>
          <w:tab w:val="left" w:pos="11199"/>
          <w:tab w:val="left" w:pos="11340"/>
        </w:tabs>
        <w:spacing w:after="0"/>
        <w:ind w:left="-1080" w:right="-1036"/>
        <w:jc w:val="both"/>
        <w:rPr>
          <w:rStyle w:val="Emphasis"/>
          <w:rFonts w:cstheme="minorHAnsi"/>
          <w:bCs/>
          <w:i w:val="0"/>
          <w:iCs w:val="0"/>
          <w:sz w:val="20"/>
          <w:szCs w:val="18"/>
          <w:shd w:val="clear" w:color="auto" w:fill="FFFFFF"/>
          <w:lang w:val="en-US"/>
        </w:rPr>
      </w:pPr>
      <w:r w:rsidRPr="00AC134B">
        <w:rPr>
          <w:sz w:val="20"/>
          <w:lang w:val="en-US"/>
        </w:rPr>
        <w:t xml:space="preserve">m (IQR) = median (interquartile range). </w:t>
      </w:r>
      <w:r>
        <w:rPr>
          <w:sz w:val="20"/>
          <w:lang w:val="en-US"/>
        </w:rPr>
        <w:t xml:space="preserve">no. = number. </w:t>
      </w:r>
      <w:r w:rsidRPr="00AC134B">
        <w:rPr>
          <w:sz w:val="20"/>
          <w:lang w:val="en-US"/>
        </w:rPr>
        <w:t>Max. = maximum value during the episode.</w:t>
      </w:r>
      <w:r w:rsidR="00B032B5">
        <w:rPr>
          <w:sz w:val="20"/>
          <w:lang w:val="en-US"/>
        </w:rPr>
        <w:t xml:space="preserve"> WBC = white blood </w:t>
      </w:r>
      <w:r>
        <w:rPr>
          <w:sz w:val="20"/>
          <w:lang w:val="en-US"/>
        </w:rPr>
        <w:t xml:space="preserve">count. CRP = C-reactive protein. PCT = </w:t>
      </w:r>
      <w:r w:rsidRPr="003C6E38">
        <w:rPr>
          <w:sz w:val="20"/>
          <w:lang w:val="en-US"/>
        </w:rPr>
        <w:t xml:space="preserve">procalcitonin. </w:t>
      </w:r>
      <w:r w:rsidRPr="00CD28B4">
        <w:rPr>
          <w:rStyle w:val="Emphasis"/>
          <w:rFonts w:cstheme="minorHAnsi"/>
          <w:bCs/>
          <w:i w:val="0"/>
          <w:sz w:val="20"/>
          <w:szCs w:val="18"/>
          <w:shd w:val="clear" w:color="auto" w:fill="FFFFFF"/>
          <w:lang w:val="en-US"/>
        </w:rPr>
        <w:t>ACS = acute chest syndrome. VOC = vaso-occlusive crisis.</w:t>
      </w:r>
    </w:p>
    <w:p w:rsidR="006520F8" w:rsidRDefault="00CD28B4" w:rsidP="00B032B5">
      <w:pPr>
        <w:tabs>
          <w:tab w:val="left" w:pos="11199"/>
          <w:tab w:val="left" w:pos="11340"/>
        </w:tabs>
        <w:spacing w:after="0"/>
        <w:ind w:left="-1080" w:right="-316"/>
        <w:jc w:val="both"/>
        <w:rPr>
          <w:rStyle w:val="Emphasis"/>
          <w:rFonts w:cstheme="minorHAnsi"/>
          <w:bCs/>
          <w:i w:val="0"/>
          <w:sz w:val="20"/>
          <w:szCs w:val="18"/>
          <w:shd w:val="clear" w:color="auto" w:fill="FFFFFF"/>
          <w:lang w:val="en-US"/>
        </w:rPr>
      </w:pPr>
      <w:r w:rsidRPr="00CD28B4">
        <w:rPr>
          <w:rStyle w:val="Emphasis"/>
          <w:rFonts w:cstheme="minorHAnsi"/>
          <w:bCs/>
          <w:i w:val="0"/>
          <w:sz w:val="20"/>
          <w:szCs w:val="18"/>
          <w:shd w:val="clear" w:color="auto" w:fill="FFFFFF"/>
          <w:lang w:val="en-US"/>
        </w:rPr>
        <w:t>Variables with significant differences (p value &lt; 0.05) are highlighted in bold font.</w:t>
      </w:r>
    </w:p>
    <w:p w:rsidR="006520F8" w:rsidRDefault="006520F8">
      <w:pPr>
        <w:rPr>
          <w:rStyle w:val="Emphasis"/>
          <w:rFonts w:cstheme="minorHAnsi"/>
          <w:bCs/>
          <w:i w:val="0"/>
          <w:sz w:val="20"/>
          <w:szCs w:val="18"/>
          <w:shd w:val="clear" w:color="auto" w:fill="FFFFFF"/>
          <w:lang w:val="en-US"/>
        </w:rPr>
      </w:pPr>
      <w:r>
        <w:rPr>
          <w:rStyle w:val="Emphasis"/>
          <w:rFonts w:cstheme="minorHAnsi"/>
          <w:bCs/>
          <w:i w:val="0"/>
          <w:sz w:val="20"/>
          <w:szCs w:val="18"/>
          <w:shd w:val="clear" w:color="auto" w:fill="FFFFFF"/>
          <w:lang w:val="en-US"/>
        </w:rPr>
        <w:br w:type="page"/>
      </w:r>
    </w:p>
    <w:tbl>
      <w:tblPr>
        <w:tblStyle w:val="TableGrid"/>
        <w:tblpPr w:leftFromText="141" w:rightFromText="141" w:vertAnchor="text" w:horzAnchor="margin" w:tblpXSpec="center" w:tblpY="-178"/>
        <w:tblW w:w="11228" w:type="dxa"/>
        <w:tblLayout w:type="fixed"/>
        <w:tblLook w:val="04A0" w:firstRow="1" w:lastRow="0" w:firstColumn="1" w:lastColumn="0" w:noHBand="0" w:noVBand="1"/>
      </w:tblPr>
      <w:tblGrid>
        <w:gridCol w:w="1661"/>
        <w:gridCol w:w="1480"/>
        <w:gridCol w:w="1480"/>
        <w:gridCol w:w="887"/>
        <w:gridCol w:w="1760"/>
        <w:gridCol w:w="1540"/>
        <w:gridCol w:w="1499"/>
        <w:gridCol w:w="921"/>
      </w:tblGrid>
      <w:tr w:rsidR="0050792C" w:rsidRPr="00FA2AB3" w:rsidTr="0050792C">
        <w:tc>
          <w:tcPr>
            <w:tcW w:w="11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2C" w:rsidRPr="00022881" w:rsidRDefault="0050792C" w:rsidP="005079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TABLE 3</w:t>
            </w:r>
            <w:r w:rsidRPr="00022881">
              <w:rPr>
                <w:b/>
                <w:lang w:val="en-US"/>
              </w:rPr>
              <w:t xml:space="preserve">. Cytokines </w:t>
            </w:r>
            <w:r>
              <w:rPr>
                <w:b/>
                <w:lang w:val="en-US"/>
              </w:rPr>
              <w:t>values and comparisons</w:t>
            </w:r>
            <w:r w:rsidRPr="0002288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among study</w:t>
            </w:r>
            <w:r w:rsidRPr="0002288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sub</w:t>
            </w:r>
            <w:r w:rsidRPr="00022881">
              <w:rPr>
                <w:b/>
                <w:lang w:val="en-US"/>
              </w:rPr>
              <w:t>groups</w:t>
            </w:r>
          </w:p>
          <w:p w:rsidR="0050792C" w:rsidRPr="00022881" w:rsidRDefault="0050792C" w:rsidP="0050792C">
            <w:pPr>
              <w:rPr>
                <w:b/>
                <w:lang w:val="en-US"/>
              </w:rPr>
            </w:pPr>
          </w:p>
        </w:tc>
      </w:tr>
      <w:tr w:rsidR="0050792C" w:rsidRPr="00FE10CF" w:rsidTr="0050792C"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92C" w:rsidRPr="00022881" w:rsidRDefault="0050792C" w:rsidP="0050792C">
            <w:pPr>
              <w:jc w:val="center"/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92C" w:rsidRPr="00C6768A" w:rsidRDefault="0050792C" w:rsidP="0050792C">
            <w:pPr>
              <w:jc w:val="center"/>
              <w:rPr>
                <w:b/>
                <w:lang w:val="en-US"/>
              </w:rPr>
            </w:pPr>
          </w:p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  <w:r w:rsidRPr="00FE10CF">
              <w:rPr>
                <w:b/>
                <w:lang w:val="en-US"/>
              </w:rPr>
              <w:t>Cases (n=79)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</w:tcPr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  <w:r w:rsidRPr="00FE10CF">
              <w:rPr>
                <w:b/>
                <w:shd w:val="clear" w:color="auto" w:fill="FFFFFF" w:themeFill="background1"/>
                <w:lang w:val="en-US"/>
              </w:rPr>
              <w:t xml:space="preserve">Controls </w:t>
            </w:r>
            <w:r w:rsidRPr="00FE10CF">
              <w:rPr>
                <w:b/>
                <w:lang w:val="en-US"/>
              </w:rPr>
              <w:t>(n=58)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</w:p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  <w:r w:rsidRPr="00FE10CF">
              <w:rPr>
                <w:b/>
                <w:lang w:val="en-US"/>
              </w:rPr>
              <w:t>p value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</w:p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  <w:r w:rsidRPr="00FE10CF">
              <w:rPr>
                <w:b/>
                <w:lang w:val="en-US"/>
              </w:rPr>
              <w:t>SBI (n=4)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</w:tcPr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</w:p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  <w:r w:rsidRPr="00FE10CF">
              <w:rPr>
                <w:b/>
                <w:lang w:val="en-US"/>
              </w:rPr>
              <w:t>VI (n=41)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</w:tcPr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</w:p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  <w:r w:rsidRPr="00FE10CF">
              <w:rPr>
                <w:b/>
                <w:lang w:val="en-US"/>
              </w:rPr>
              <w:t>NPI (n=33)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</w:p>
          <w:p w:rsidR="0050792C" w:rsidRPr="00FE10CF" w:rsidRDefault="0050792C" w:rsidP="0050792C">
            <w:pPr>
              <w:jc w:val="center"/>
              <w:rPr>
                <w:b/>
                <w:lang w:val="en-US"/>
              </w:rPr>
            </w:pPr>
            <w:r w:rsidRPr="00FE10CF">
              <w:rPr>
                <w:b/>
                <w:lang w:val="en-US"/>
              </w:rPr>
              <w:t>p value</w:t>
            </w:r>
          </w:p>
        </w:tc>
      </w:tr>
      <w:tr w:rsidR="0050792C" w:rsidTr="0050792C"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792C" w:rsidRPr="00FE10CF" w:rsidRDefault="0050792C" w:rsidP="0050792C">
            <w:pPr>
              <w:rPr>
                <w:b/>
                <w:lang w:val="en-US"/>
              </w:rPr>
            </w:pPr>
            <w:r w:rsidRPr="00FE10CF">
              <w:rPr>
                <w:b/>
                <w:lang w:val="en-US"/>
              </w:rPr>
              <w:t>IL-1</w:t>
            </w:r>
            <w:r w:rsidRPr="00343308">
              <w:rPr>
                <w:rFonts w:cstheme="minorHAnsi"/>
                <w:b/>
              </w:rPr>
              <w:t>β</w:t>
            </w:r>
            <w:r w:rsidRPr="00FE10CF">
              <w:rPr>
                <w:rFonts w:cstheme="minorHAnsi"/>
                <w:b/>
                <w:lang w:val="en-US"/>
              </w:rPr>
              <w:t xml:space="preserve"> </w:t>
            </w:r>
            <w:r w:rsidRPr="00FE10CF">
              <w:rPr>
                <w:rFonts w:cstheme="minorHAnsi"/>
                <w:lang w:val="en-US"/>
              </w:rPr>
              <w:t>pg/ml</w:t>
            </w:r>
          </w:p>
        </w:tc>
        <w:tc>
          <w:tcPr>
            <w:tcW w:w="1480" w:type="dxa"/>
            <w:tcBorders>
              <w:left w:val="single" w:sz="4" w:space="0" w:color="auto"/>
              <w:bottom w:val="nil"/>
              <w:right w:val="nil"/>
            </w:tcBorders>
          </w:tcPr>
          <w:p w:rsidR="0050792C" w:rsidRPr="00FE10CF" w:rsidRDefault="0050792C" w:rsidP="0050792C">
            <w:pPr>
              <w:jc w:val="center"/>
              <w:rPr>
                <w:lang w:val="en-US"/>
              </w:rPr>
            </w:pPr>
            <w:r w:rsidRPr="00FE10CF">
              <w:rPr>
                <w:lang w:val="en-US"/>
              </w:rPr>
              <w:t>33 (1.8-242.5)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 w:rsidRPr="00FE10CF">
              <w:rPr>
                <w:lang w:val="en-US"/>
              </w:rPr>
              <w:t>29.5 (1.8-</w:t>
            </w:r>
            <w:r>
              <w:t>212)</w:t>
            </w:r>
          </w:p>
        </w:tc>
        <w:tc>
          <w:tcPr>
            <w:tcW w:w="887" w:type="dxa"/>
            <w:tcBorders>
              <w:left w:val="nil"/>
              <w:bottom w:val="nil"/>
            </w:tcBorders>
          </w:tcPr>
          <w:p w:rsidR="0050792C" w:rsidRDefault="0050792C" w:rsidP="0050792C">
            <w:pPr>
              <w:jc w:val="center"/>
            </w:pPr>
            <w:r>
              <w:t>0.861</w:t>
            </w:r>
          </w:p>
        </w:tc>
        <w:tc>
          <w:tcPr>
            <w:tcW w:w="1760" w:type="dxa"/>
            <w:tcBorders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57.9 (1.8-190)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 (1.8-289</w:t>
            </w:r>
            <w:r w:rsidRPr="00460B57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(1.8-166</w:t>
            </w:r>
            <w:r w:rsidRPr="00460B57">
              <w:rPr>
                <w:lang w:val="en-US"/>
              </w:rPr>
              <w:t>)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lang w:val="en-US"/>
              </w:rPr>
            </w:pPr>
            <w:r w:rsidRPr="00824D80">
              <w:rPr>
                <w:lang w:val="en-US"/>
              </w:rPr>
              <w:t>0.828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IL-2</w:t>
            </w:r>
            <w:r>
              <w:rPr>
                <w:b/>
              </w:rPr>
              <w:t xml:space="preserve"> 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792C" w:rsidRDefault="0050792C" w:rsidP="0050792C">
            <w:pPr>
              <w:jc w:val="center"/>
            </w:pPr>
            <w:r>
              <w:t>6.2 (6.2-6.2)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Default="0050792C" w:rsidP="0050792C">
            <w:pPr>
              <w:jc w:val="center"/>
            </w:pPr>
            <w:r>
              <w:t>6.2 (6.2-6.2)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92C" w:rsidRDefault="0050792C" w:rsidP="0050792C">
            <w:pPr>
              <w:jc w:val="center"/>
            </w:pPr>
            <w:r>
              <w:t>0.565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 w:rsidRPr="001D2B43">
              <w:rPr>
                <w:lang w:val="en-US"/>
              </w:rPr>
              <w:t>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 w:rsidRPr="00460B57">
              <w:rPr>
                <w:lang w:val="en-US"/>
              </w:rPr>
              <w:t>6.2 (6.2-6.2)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 w:rsidRPr="00460B57">
              <w:rPr>
                <w:lang w:val="en-US"/>
              </w:rPr>
              <w:t>6.2 (6.2-6.2)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lang w:val="en-US"/>
              </w:rPr>
            </w:pPr>
            <w:r w:rsidRPr="00824D80">
              <w:rPr>
                <w:lang w:val="en-US"/>
              </w:rPr>
              <w:t>0.763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IL-4</w:t>
            </w:r>
            <w:r>
              <w:rPr>
                <w:b/>
              </w:rPr>
              <w:t xml:space="preserve"> 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792C" w:rsidRDefault="0050792C" w:rsidP="0050792C">
            <w:pPr>
              <w:jc w:val="center"/>
            </w:pPr>
            <w:r>
              <w:t>2.2 (2.2-85.5)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Default="0050792C" w:rsidP="0050792C">
            <w:pPr>
              <w:jc w:val="center"/>
            </w:pPr>
            <w:r>
              <w:t>2.2 (2.2-91)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92C" w:rsidRDefault="0050792C" w:rsidP="0050792C">
            <w:pPr>
              <w:jc w:val="center"/>
            </w:pPr>
            <w:r>
              <w:t>0.509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 w:rsidRPr="00460B57">
              <w:rPr>
                <w:lang w:val="en-US"/>
              </w:rPr>
              <w:t>14.6 (2.2-149.5)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 w:rsidRPr="00460B57">
              <w:rPr>
                <w:lang w:val="en-US"/>
              </w:rPr>
              <w:t xml:space="preserve">2.2 </w:t>
            </w:r>
            <w:r>
              <w:rPr>
                <w:lang w:val="en-US"/>
              </w:rPr>
              <w:t>(2.2-69</w:t>
            </w:r>
            <w:r w:rsidRPr="00460B57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460B57" w:rsidRDefault="0050792C" w:rsidP="0050792C">
            <w:pPr>
              <w:jc w:val="center"/>
              <w:rPr>
                <w:lang w:val="en-US"/>
              </w:rPr>
            </w:pPr>
            <w:r w:rsidRPr="00460B57">
              <w:rPr>
                <w:lang w:val="en-US"/>
              </w:rPr>
              <w:t xml:space="preserve">2.2 </w:t>
            </w:r>
            <w:r>
              <w:rPr>
                <w:lang w:val="en-US"/>
              </w:rPr>
              <w:t>(2.2-226</w:t>
            </w:r>
            <w:r w:rsidRPr="00460B57">
              <w:rPr>
                <w:lang w:val="en-US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lang w:val="en-US"/>
              </w:rPr>
            </w:pPr>
            <w:r w:rsidRPr="00824D80">
              <w:rPr>
                <w:lang w:val="en-US"/>
              </w:rPr>
              <w:t>0.805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IL-6</w:t>
            </w:r>
            <w:r>
              <w:rPr>
                <w:b/>
              </w:rPr>
              <w:t xml:space="preserve"> 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0.7 (0.7-0.7)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b/>
              </w:rPr>
            </w:pPr>
            <w:r w:rsidRPr="001D2B43">
              <w:rPr>
                <w:b/>
              </w:rPr>
              <w:t>0.008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rPr>
                <w:lang w:val="en-US"/>
              </w:rPr>
              <w:t>163 (70.4-</w:t>
            </w:r>
            <w:r w:rsidRPr="001D2B43">
              <w:t>459.5)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>
              <w:t>0.7 (0.7-0.7)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b/>
              </w:rPr>
            </w:pPr>
            <w:r w:rsidRPr="001D2B43">
              <w:t>0.7 (0.7-0.7)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b/>
              </w:rPr>
            </w:pPr>
            <w:r w:rsidRPr="00824D80">
              <w:rPr>
                <w:b/>
              </w:rPr>
              <w:t>&lt;0.001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IL-8</w:t>
            </w:r>
            <w:r>
              <w:rPr>
                <w:b/>
              </w:rPr>
              <w:t xml:space="preserve"> 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41 (30-74)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36 (30-52)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0.191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49 (32.5-68.5)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 (30-99</w:t>
            </w:r>
            <w:r w:rsidRPr="001D2B43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 w:rsidRPr="001D2B43">
              <w:rPr>
                <w:lang w:val="en-US"/>
              </w:rPr>
              <w:t>38 (30-72)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lang w:val="en-US"/>
              </w:rPr>
            </w:pPr>
            <w:r w:rsidRPr="00824D80">
              <w:rPr>
                <w:lang w:val="en-US"/>
              </w:rPr>
              <w:t>0.919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IL-10</w:t>
            </w:r>
            <w:r>
              <w:rPr>
                <w:b/>
              </w:rPr>
              <w:t xml:space="preserve"> 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0.9 (0.9-73)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0.9 (0.9-34)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0.218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 w:rsidRPr="001D2B43">
              <w:rPr>
                <w:lang w:val="en-US"/>
              </w:rPr>
              <w:t>17.4 (0.9-116.5)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9.9 (0.9-94</w:t>
            </w:r>
            <w:r w:rsidRPr="001D2B43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 w:rsidRPr="001D2B43">
              <w:rPr>
                <w:lang w:val="en-US"/>
              </w:rPr>
              <w:t>0.9 (0.9-58)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lang w:val="en-US"/>
              </w:rPr>
            </w:pPr>
            <w:r w:rsidRPr="00824D80">
              <w:rPr>
                <w:lang w:val="en-US"/>
              </w:rPr>
              <w:t>0.561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IL-12p70</w:t>
            </w:r>
            <w:r>
              <w:rPr>
                <w:b/>
              </w:rPr>
              <w:t xml:space="preserve"> </w:t>
            </w:r>
            <w:r w:rsidRPr="00E8389F">
              <w:rPr>
                <w:rFonts w:cstheme="minorHAnsi"/>
              </w:rPr>
              <w:t>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</w:pPr>
            <w:r w:rsidRPr="001D2B43">
              <w:t>-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 w:rsidRPr="001D2B43">
              <w:rPr>
                <w:lang w:val="en-US"/>
              </w:rPr>
              <w:t>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 w:rsidRPr="001D2B43">
              <w:rPr>
                <w:lang w:val="en-US"/>
              </w:rPr>
              <w:t>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2C" w:rsidRPr="001D2B43" w:rsidRDefault="0050792C" w:rsidP="0050792C">
            <w:pPr>
              <w:jc w:val="center"/>
              <w:rPr>
                <w:lang w:val="en-US"/>
              </w:rPr>
            </w:pPr>
            <w:r w:rsidRPr="001D2B43">
              <w:rPr>
                <w:lang w:val="en-US"/>
              </w:rPr>
              <w:t>ND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lang w:val="en-US"/>
              </w:rPr>
            </w:pPr>
            <w:r w:rsidRPr="00824D80">
              <w:rPr>
                <w:lang w:val="en-US"/>
              </w:rPr>
              <w:t>-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IL-17</w:t>
            </w:r>
            <w:r w:rsidRPr="00343308">
              <w:rPr>
                <w:rFonts w:cstheme="minorHAnsi"/>
                <w:b/>
              </w:rPr>
              <w:t>a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4.4 (4.4-266)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44 (4.4-233)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</w:tcPr>
          <w:p w:rsidR="0050792C" w:rsidRDefault="0050792C" w:rsidP="0050792C">
            <w:pPr>
              <w:jc w:val="center"/>
            </w:pPr>
            <w:r>
              <w:t>0.828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</w:tcPr>
          <w:p w:rsidR="0050792C" w:rsidRPr="00243C62" w:rsidRDefault="0050792C" w:rsidP="0050792C">
            <w:pPr>
              <w:jc w:val="center"/>
              <w:rPr>
                <w:lang w:val="en-US"/>
              </w:rPr>
            </w:pPr>
            <w:r w:rsidRPr="00243C62">
              <w:rPr>
                <w:lang w:val="en-US"/>
              </w:rPr>
              <w:t>53.7 (4.4-263.5)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243C62" w:rsidRDefault="0050792C" w:rsidP="00507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4.4 (4.4-248</w:t>
            </w:r>
            <w:r w:rsidRPr="00243C62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243C62" w:rsidRDefault="0050792C" w:rsidP="0050792C">
            <w:pPr>
              <w:jc w:val="center"/>
              <w:rPr>
                <w:highlight w:val="yellow"/>
                <w:lang w:val="en-US"/>
              </w:rPr>
            </w:pPr>
            <w:r w:rsidRPr="00243C62">
              <w:rPr>
                <w:lang w:val="en-US"/>
              </w:rPr>
              <w:t xml:space="preserve">35 </w:t>
            </w:r>
            <w:r>
              <w:rPr>
                <w:lang w:val="en-US"/>
              </w:rPr>
              <w:t>(4.4-284</w:t>
            </w:r>
            <w:r w:rsidRPr="00243C62">
              <w:rPr>
                <w:lang w:val="en-US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  <w:rPr>
                <w:lang w:val="en-US"/>
              </w:rPr>
            </w:pPr>
            <w:r w:rsidRPr="00824D80">
              <w:rPr>
                <w:lang w:val="en-US"/>
              </w:rPr>
              <w:t>0.912</w:t>
            </w:r>
          </w:p>
        </w:tc>
      </w:tr>
      <w:tr w:rsidR="0050792C" w:rsidTr="0050792C"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 xml:space="preserve">TNF </w:t>
            </w:r>
            <w:r w:rsidRPr="00343308">
              <w:rPr>
                <w:rFonts w:cstheme="minorHAnsi"/>
                <w:b/>
              </w:rPr>
              <w:t>α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59.0 (11-112)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50.5 (23-92)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</w:tcPr>
          <w:p w:rsidR="0050792C" w:rsidRDefault="0050792C" w:rsidP="0050792C">
            <w:pPr>
              <w:jc w:val="center"/>
            </w:pPr>
            <w:r>
              <w:t>0.674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 w:rsidRPr="00243C62">
              <w:rPr>
                <w:lang w:val="en-US"/>
              </w:rPr>
              <w:t>2</w:t>
            </w:r>
            <w:r>
              <w:t>4.5 (14-52.5)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64 (26-156)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64 (4.9-106)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0792C" w:rsidRPr="00824D80" w:rsidRDefault="0050792C" w:rsidP="0050792C">
            <w:pPr>
              <w:jc w:val="center"/>
            </w:pPr>
            <w:r w:rsidRPr="00824D80">
              <w:t>0.357</w:t>
            </w:r>
          </w:p>
        </w:tc>
      </w:tr>
      <w:tr w:rsidR="0050792C" w:rsidRPr="0082576F" w:rsidTr="0050792C">
        <w:tc>
          <w:tcPr>
            <w:tcW w:w="1661" w:type="dxa"/>
            <w:tcBorders>
              <w:top w:val="nil"/>
              <w:left w:val="nil"/>
              <w:right w:val="single" w:sz="4" w:space="0" w:color="auto"/>
            </w:tcBorders>
          </w:tcPr>
          <w:p w:rsidR="0050792C" w:rsidRPr="00343308" w:rsidRDefault="0050792C" w:rsidP="0050792C">
            <w:pPr>
              <w:rPr>
                <w:b/>
              </w:rPr>
            </w:pPr>
            <w:r w:rsidRPr="00343308">
              <w:rPr>
                <w:b/>
              </w:rPr>
              <w:t>IFN-</w:t>
            </w:r>
            <w:r w:rsidRPr="00343308">
              <w:rPr>
                <w:rFonts w:cstheme="minorHAnsi"/>
                <w:b/>
                <w:bCs/>
                <w:color w:val="222222"/>
                <w:szCs w:val="20"/>
                <w:shd w:val="clear" w:color="auto" w:fill="FFFFFF"/>
              </w:rPr>
              <w:t>γ</w:t>
            </w:r>
            <w:r w:rsidRPr="00E8389F">
              <w:rPr>
                <w:rFonts w:cstheme="minorHAnsi"/>
              </w:rPr>
              <w:t xml:space="preserve"> pg/ml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41 (0.4-152)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34 (0.4-97)</w:t>
            </w:r>
          </w:p>
        </w:tc>
        <w:tc>
          <w:tcPr>
            <w:tcW w:w="887" w:type="dxa"/>
            <w:tcBorders>
              <w:top w:val="nil"/>
              <w:left w:val="nil"/>
            </w:tcBorders>
          </w:tcPr>
          <w:p w:rsidR="0050792C" w:rsidRDefault="0050792C" w:rsidP="0050792C">
            <w:pPr>
              <w:jc w:val="center"/>
            </w:pPr>
            <w:r>
              <w:t>0.324</w:t>
            </w:r>
          </w:p>
        </w:tc>
        <w:tc>
          <w:tcPr>
            <w:tcW w:w="1760" w:type="dxa"/>
            <w:tcBorders>
              <w:top w:val="nil"/>
              <w:right w:val="nil"/>
            </w:tcBorders>
          </w:tcPr>
          <w:p w:rsidR="0050792C" w:rsidRDefault="0050792C" w:rsidP="0050792C">
            <w:pPr>
              <w:jc w:val="center"/>
            </w:pPr>
            <w:r>
              <w:t>0.4 (0.4-20.7)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</w:tcPr>
          <w:p w:rsidR="0050792C" w:rsidRPr="0082576F" w:rsidRDefault="0050792C" w:rsidP="00507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 (0.4-203</w:t>
            </w:r>
            <w:r w:rsidRPr="0082576F">
              <w:rPr>
                <w:lang w:val="en-US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</w:tcPr>
          <w:p w:rsidR="0050792C" w:rsidRPr="0082576F" w:rsidRDefault="0050792C" w:rsidP="0050792C">
            <w:pPr>
              <w:jc w:val="center"/>
              <w:rPr>
                <w:lang w:val="en-US"/>
              </w:rPr>
            </w:pPr>
            <w:r w:rsidRPr="0082576F">
              <w:rPr>
                <w:lang w:val="en-US"/>
              </w:rPr>
              <w:t>41 (0.4-132)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50792C" w:rsidRPr="0082576F" w:rsidRDefault="0050792C" w:rsidP="0050792C">
            <w:pPr>
              <w:jc w:val="center"/>
              <w:rPr>
                <w:lang w:val="en-US"/>
              </w:rPr>
            </w:pPr>
            <w:r w:rsidRPr="0082576F">
              <w:rPr>
                <w:lang w:val="en-US"/>
              </w:rPr>
              <w:t>0.201</w:t>
            </w:r>
          </w:p>
        </w:tc>
      </w:tr>
    </w:tbl>
    <w:p w:rsidR="006520F8" w:rsidRDefault="006520F8" w:rsidP="0050792C">
      <w:pPr>
        <w:spacing w:after="0"/>
        <w:ind w:left="-720" w:hanging="180"/>
        <w:rPr>
          <w:sz w:val="20"/>
          <w:lang w:val="en-US"/>
        </w:rPr>
      </w:pPr>
      <w:r w:rsidRPr="00F63C44">
        <w:rPr>
          <w:sz w:val="20"/>
          <w:lang w:val="en-US"/>
        </w:rPr>
        <w:t>ND = Non-detectable in any of the patients</w:t>
      </w:r>
      <w:r>
        <w:rPr>
          <w:sz w:val="20"/>
          <w:lang w:val="en-US"/>
        </w:rPr>
        <w:t xml:space="preserve"> of the subgroup</w:t>
      </w:r>
      <w:r w:rsidRPr="00F63C44">
        <w:rPr>
          <w:sz w:val="20"/>
          <w:lang w:val="en-US"/>
        </w:rPr>
        <w:t>.</w:t>
      </w:r>
    </w:p>
    <w:p w:rsidR="006520F8" w:rsidRPr="006520F8" w:rsidRDefault="006520F8" w:rsidP="0050792C">
      <w:pPr>
        <w:tabs>
          <w:tab w:val="left" w:pos="11199"/>
          <w:tab w:val="left" w:pos="11340"/>
        </w:tabs>
        <w:spacing w:after="0"/>
        <w:ind w:left="-900" w:right="404"/>
        <w:jc w:val="both"/>
        <w:rPr>
          <w:rStyle w:val="Emphasis"/>
          <w:rFonts w:cstheme="minorHAnsi"/>
          <w:bCs/>
          <w:i w:val="0"/>
          <w:iCs w:val="0"/>
          <w:sz w:val="20"/>
          <w:szCs w:val="18"/>
          <w:shd w:val="clear" w:color="auto" w:fill="FFFFFF"/>
          <w:lang w:val="en-US"/>
        </w:rPr>
      </w:pPr>
      <w:r w:rsidRPr="006520F8">
        <w:rPr>
          <w:rStyle w:val="Emphasis"/>
          <w:rFonts w:cstheme="minorHAnsi"/>
          <w:bCs/>
          <w:i w:val="0"/>
          <w:sz w:val="20"/>
          <w:szCs w:val="18"/>
          <w:shd w:val="clear" w:color="auto" w:fill="FFFFFF"/>
          <w:lang w:val="en-US"/>
        </w:rPr>
        <w:t>Variables with significant differences (p value &lt; 0.05) are highlighted in bold font.</w:t>
      </w:r>
    </w:p>
    <w:p w:rsidR="006520F8" w:rsidRDefault="006520F8" w:rsidP="006520F8">
      <w:pPr>
        <w:ind w:hanging="900"/>
        <w:rPr>
          <w:sz w:val="20"/>
          <w:lang w:val="en-US"/>
        </w:rPr>
      </w:pPr>
    </w:p>
    <w:p w:rsidR="006520F8" w:rsidRDefault="006520F8" w:rsidP="006520F8">
      <w:pPr>
        <w:rPr>
          <w:sz w:val="20"/>
          <w:lang w:val="en-US"/>
        </w:rPr>
      </w:pPr>
    </w:p>
    <w:p w:rsidR="006520F8" w:rsidRDefault="006520F8" w:rsidP="006520F8">
      <w:pPr>
        <w:rPr>
          <w:sz w:val="20"/>
          <w:lang w:val="en-US"/>
        </w:rPr>
      </w:pPr>
    </w:p>
    <w:p w:rsidR="006520F8" w:rsidRDefault="006520F8" w:rsidP="006520F8">
      <w:pPr>
        <w:rPr>
          <w:sz w:val="20"/>
          <w:lang w:val="en-US"/>
        </w:rPr>
      </w:pPr>
    </w:p>
    <w:p w:rsidR="006520F8" w:rsidRDefault="006520F8" w:rsidP="006520F8">
      <w:pPr>
        <w:rPr>
          <w:sz w:val="20"/>
          <w:lang w:val="en-US"/>
        </w:rPr>
      </w:pPr>
    </w:p>
    <w:p w:rsidR="006520F8" w:rsidRDefault="006520F8" w:rsidP="006520F8">
      <w:pPr>
        <w:rPr>
          <w:sz w:val="20"/>
          <w:lang w:val="en-US"/>
        </w:rPr>
      </w:pPr>
    </w:p>
    <w:p w:rsidR="00AB0B4C" w:rsidRDefault="00AB0B4C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pPr w:leftFromText="141" w:rightFromText="141" w:vertAnchor="text" w:horzAnchor="margin" w:tblpXSpec="center" w:tblpY="2"/>
        <w:tblW w:w="1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800"/>
        <w:gridCol w:w="2471"/>
        <w:gridCol w:w="2528"/>
      </w:tblGrid>
      <w:tr w:rsidR="00AB0B4C" w:rsidRPr="00FA2AB3" w:rsidTr="00AB0B4C">
        <w:trPr>
          <w:trHeight w:val="519"/>
        </w:trPr>
        <w:tc>
          <w:tcPr>
            <w:tcW w:w="111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0B4C" w:rsidRPr="00B11EB1" w:rsidRDefault="008934E8" w:rsidP="00AB0B4C">
            <w:pPr>
              <w:spacing w:after="0"/>
              <w:ind w:hanging="2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  </w:t>
            </w:r>
            <w:r w:rsidR="00AB0B4C">
              <w:rPr>
                <w:b/>
                <w:lang w:val="en-US"/>
              </w:rPr>
              <w:t>TABLE 4</w:t>
            </w:r>
            <w:r w:rsidR="00AB0B4C" w:rsidRPr="00A42A39">
              <w:rPr>
                <w:b/>
                <w:lang w:val="en-US"/>
              </w:rPr>
              <w:t>. Diagnostic tests of IL-6 and other significant biomarkers for the prediction of SBI</w:t>
            </w:r>
          </w:p>
        </w:tc>
      </w:tr>
      <w:tr w:rsidR="00AB0B4C" w:rsidRPr="000569FB" w:rsidTr="00AB0B4C">
        <w:trPr>
          <w:trHeight w:val="519"/>
        </w:trPr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b/>
                <w:lang w:val="en-US"/>
              </w:rPr>
              <w:t>Biomarker</w:t>
            </w:r>
          </w:p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b/>
                <w:lang w:val="en-US"/>
              </w:rPr>
              <w:t xml:space="preserve">Cut-off 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b/>
                <w:lang w:val="en-US"/>
              </w:rPr>
              <w:t>Sensitivity %</w:t>
            </w:r>
          </w:p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lang w:val="en-US"/>
              </w:rPr>
              <w:t>(95% CI)</w:t>
            </w:r>
          </w:p>
        </w:tc>
        <w:tc>
          <w:tcPr>
            <w:tcW w:w="1800" w:type="dxa"/>
            <w:tcBorders>
              <w:left w:val="nil"/>
              <w:bottom w:val="single" w:sz="4" w:space="0" w:color="000000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b/>
                <w:lang w:val="en-US"/>
              </w:rPr>
              <w:t>Specificity %</w:t>
            </w:r>
          </w:p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lang w:val="en-US"/>
              </w:rPr>
              <w:t>(95% CI)</w:t>
            </w:r>
          </w:p>
        </w:tc>
        <w:tc>
          <w:tcPr>
            <w:tcW w:w="2471" w:type="dxa"/>
            <w:tcBorders>
              <w:left w:val="nil"/>
              <w:bottom w:val="single" w:sz="4" w:space="0" w:color="000000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b/>
                <w:lang w:val="en-US"/>
              </w:rPr>
              <w:t>PPV %</w:t>
            </w:r>
          </w:p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lang w:val="en-US"/>
              </w:rPr>
              <w:t>(95% CI)</w:t>
            </w:r>
          </w:p>
        </w:tc>
        <w:tc>
          <w:tcPr>
            <w:tcW w:w="2528" w:type="dxa"/>
            <w:tcBorders>
              <w:left w:val="nil"/>
              <w:bottom w:val="single" w:sz="4" w:space="0" w:color="000000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b/>
                <w:lang w:val="en-US"/>
              </w:rPr>
              <w:t>NPV %</w:t>
            </w:r>
          </w:p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lang w:val="en-US"/>
              </w:rPr>
              <w:t>(95% CI)</w:t>
            </w:r>
          </w:p>
        </w:tc>
      </w:tr>
      <w:tr w:rsidR="00AB0B4C" w:rsidTr="00AB0B4C">
        <w:trPr>
          <w:trHeight w:val="1053"/>
        </w:trPr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rPr>
                <w:lang w:val="en-US"/>
              </w:rPr>
            </w:pPr>
          </w:p>
          <w:p w:rsidR="00AB0B4C" w:rsidRPr="00B11EB1" w:rsidRDefault="00AB0B4C" w:rsidP="00AB0B4C">
            <w:pPr>
              <w:spacing w:after="0"/>
              <w:ind w:hanging="2"/>
              <w:rPr>
                <w:lang w:val="en-US"/>
              </w:rPr>
            </w:pPr>
            <w:r w:rsidRPr="00B11EB1">
              <w:rPr>
                <w:b/>
                <w:lang w:val="en-US"/>
              </w:rPr>
              <w:t>IL-6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</w:p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  <w:r w:rsidRPr="00B11EB1">
              <w:rPr>
                <w:lang w:val="en-US"/>
              </w:rPr>
              <w:t>125 pg/ml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B0B4C" w:rsidRPr="00B11EB1" w:rsidRDefault="00AB0B4C" w:rsidP="00AB0B4C">
            <w:pPr>
              <w:spacing w:after="0"/>
              <w:ind w:hanging="2"/>
              <w:jc w:val="center"/>
              <w:rPr>
                <w:lang w:val="en-US"/>
              </w:rPr>
            </w:pPr>
          </w:p>
          <w:p w:rsidR="00AB0B4C" w:rsidRDefault="00AB0B4C" w:rsidP="00AB0B4C">
            <w:pPr>
              <w:spacing w:after="0"/>
              <w:ind w:hanging="2"/>
              <w:jc w:val="center"/>
            </w:pPr>
            <w:r w:rsidRPr="00B11EB1">
              <w:rPr>
                <w:lang w:val="en-US"/>
              </w:rPr>
              <w:t>75 (21</w:t>
            </w:r>
            <w:r>
              <w:t>.9-98.7)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  <w:jc w:val="center"/>
            </w:pPr>
          </w:p>
          <w:p w:rsidR="00AB0B4C" w:rsidRDefault="00AB0B4C" w:rsidP="00AB0B4C">
            <w:pPr>
              <w:spacing w:after="0"/>
              <w:ind w:hanging="2"/>
              <w:jc w:val="center"/>
            </w:pPr>
            <w:r>
              <w:t>100 (93.9-99.9)</w:t>
            </w:r>
          </w:p>
        </w:tc>
        <w:tc>
          <w:tcPr>
            <w:tcW w:w="2471" w:type="dxa"/>
            <w:tcBorders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100 (56.6-100)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10%:</w:t>
            </w:r>
            <w:r>
              <w:t xml:space="preserve"> 100 (56.6-100)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100 (56.6-100)</w:t>
            </w:r>
          </w:p>
          <w:p w:rsidR="00AB0B4C" w:rsidRDefault="00AB0B4C" w:rsidP="00AB0B4C">
            <w:pPr>
              <w:spacing w:after="0"/>
              <w:ind w:hanging="2"/>
            </w:pPr>
          </w:p>
        </w:tc>
        <w:tc>
          <w:tcPr>
            <w:tcW w:w="2528" w:type="dxa"/>
            <w:tcBorders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98.7 (93.3-99.8)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10%:</w:t>
            </w:r>
            <w:r>
              <w:t xml:space="preserve"> 97.3 (86.8-99.5)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95.8 (80.6-99.2)</w:t>
            </w:r>
          </w:p>
          <w:p w:rsidR="00AB0B4C" w:rsidRDefault="00AB0B4C" w:rsidP="00AB0B4C">
            <w:pPr>
              <w:spacing w:after="0"/>
              <w:ind w:hanging="2"/>
            </w:pPr>
          </w:p>
        </w:tc>
      </w:tr>
      <w:tr w:rsidR="00AB0B4C" w:rsidTr="00AB0B4C">
        <w:trPr>
          <w:trHeight w:val="10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Neutrophils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AB0B4C" w:rsidRDefault="00AB0B4C" w:rsidP="00AB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13.8 x10⁹/L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  <w:jc w:val="center"/>
            </w:pPr>
          </w:p>
          <w:p w:rsidR="00AB0B4C" w:rsidRDefault="00AB0B4C" w:rsidP="00AB0B4C">
            <w:pPr>
              <w:spacing w:after="0"/>
              <w:ind w:hanging="2"/>
              <w:jc w:val="center"/>
            </w:pPr>
            <w:r>
              <w:t>100 (39.8-100)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  <w:jc w:val="center"/>
            </w:pPr>
          </w:p>
          <w:p w:rsidR="00AB0B4C" w:rsidRDefault="00AB0B4C" w:rsidP="00AB0B4C">
            <w:pPr>
              <w:spacing w:after="0"/>
              <w:ind w:hanging="2"/>
              <w:jc w:val="center"/>
            </w:pPr>
            <w:r>
              <w:t>77.3 (66.2-86.2)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18.8 (13.3-26.1)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10%:</w:t>
            </w:r>
            <w:r>
              <w:t xml:space="preserve"> 32.9 (24.4-42.7)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43.8 (33.9-54.2)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100 (87.8-100)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10%:</w:t>
            </w:r>
            <w:r>
              <w:t xml:space="preserve"> 100 (87.8-100)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100 (87.8-100)</w:t>
            </w:r>
          </w:p>
          <w:p w:rsidR="00AB0B4C" w:rsidRDefault="00AB0B4C" w:rsidP="00AB0B4C">
            <w:pPr>
              <w:spacing w:after="0"/>
              <w:ind w:hanging="2"/>
            </w:pPr>
          </w:p>
        </w:tc>
      </w:tr>
      <w:tr w:rsidR="00AB0B4C" w:rsidTr="00AB0B4C">
        <w:trPr>
          <w:trHeight w:val="5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 xml:space="preserve">CRP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  <w:jc w:val="center"/>
            </w:pPr>
          </w:p>
          <w:p w:rsidR="00AB0B4C" w:rsidRDefault="00AB0B4C" w:rsidP="00AB0B4C">
            <w:pPr>
              <w:spacing w:after="0"/>
              <w:ind w:hanging="2"/>
              <w:jc w:val="center"/>
            </w:pPr>
            <w:r>
              <w:t>7 mg/dl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  <w:jc w:val="center"/>
            </w:pPr>
          </w:p>
          <w:p w:rsidR="00AB0B4C" w:rsidRDefault="00AB0B4C" w:rsidP="00AB0B4C">
            <w:pPr>
              <w:spacing w:after="0"/>
              <w:ind w:hanging="2"/>
              <w:jc w:val="center"/>
            </w:pPr>
            <w:r>
              <w:t>100 (39.8-100)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  <w:jc w:val="center"/>
            </w:pPr>
          </w:p>
          <w:p w:rsidR="00AB0B4C" w:rsidRDefault="00AB0B4C" w:rsidP="00AB0B4C">
            <w:pPr>
              <w:spacing w:after="0"/>
              <w:ind w:hanging="2"/>
              <w:jc w:val="center"/>
            </w:pPr>
            <w:r>
              <w:t>82.7 (72.2-90.4)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23.3 (15.6-33.2)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10%:</w:t>
            </w:r>
            <w:r>
              <w:t xml:space="preserve"> 39.1 (28.1-51.2)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50.4 (38.3-62.5)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100 (92-7-100)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 xml:space="preserve">PR 10%: </w:t>
            </w:r>
            <w:r>
              <w:t>100 (92-7-100)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100 (92-7-100)</w:t>
            </w:r>
          </w:p>
          <w:p w:rsidR="00AB0B4C" w:rsidRDefault="00AB0B4C" w:rsidP="00AB0B4C">
            <w:pPr>
              <w:spacing w:after="0"/>
              <w:ind w:hanging="2"/>
            </w:pPr>
          </w:p>
        </w:tc>
      </w:tr>
      <w:tr w:rsidR="00AB0B4C" w:rsidTr="00AB0B4C">
        <w:trPr>
          <w:trHeight w:val="549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Procalcitonin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AB0B4C" w:rsidRDefault="00AB0B4C" w:rsidP="00AB0B4C">
            <w:pPr>
              <w:spacing w:after="0"/>
              <w:ind w:hanging="2"/>
              <w:jc w:val="center"/>
            </w:pPr>
            <w:r>
              <w:t>1.3 ng/ml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AB0B4C" w:rsidRDefault="00AB0B4C" w:rsidP="00AB0B4C">
            <w:pPr>
              <w:spacing w:after="0"/>
              <w:ind w:hanging="2"/>
              <w:jc w:val="center"/>
            </w:pPr>
            <w:r>
              <w:t>75 (19.4-99.4)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AB0B4C" w:rsidRDefault="00AB0B4C" w:rsidP="00AB0B4C">
            <w:pPr>
              <w:spacing w:after="0"/>
              <w:ind w:hanging="2"/>
              <w:jc w:val="center"/>
            </w:pPr>
            <w:r>
              <w:t>82.7 (72.2-90.4)</w:t>
            </w: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18.5 (9-7-32.6)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10%:</w:t>
            </w:r>
            <w:r>
              <w:t xml:space="preserve"> 32.5 (18.5-50.5)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43.3 (26.5-61.8)</w:t>
            </w:r>
          </w:p>
        </w:tc>
        <w:tc>
          <w:tcPr>
            <w:tcW w:w="2528" w:type="dxa"/>
            <w:tcBorders>
              <w:top w:val="nil"/>
              <w:left w:val="nil"/>
              <w:right w:val="nil"/>
            </w:tcBorders>
          </w:tcPr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5%:</w:t>
            </w:r>
            <w:r>
              <w:t xml:space="preserve"> 98.4 (92-99.7)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10%:</w:t>
            </w:r>
            <w:r>
              <w:t xml:space="preserve"> 96.7 (84.5-99.4)</w:t>
            </w:r>
          </w:p>
          <w:p w:rsidR="00AB0B4C" w:rsidRDefault="00AB0B4C" w:rsidP="00AB0B4C">
            <w:pPr>
              <w:spacing w:after="0"/>
              <w:ind w:hanging="2"/>
            </w:pPr>
            <w:r>
              <w:rPr>
                <w:b/>
              </w:rPr>
              <w:t>PR 15%:</w:t>
            </w:r>
            <w:r>
              <w:t xml:space="preserve"> 94.9 (77.4-99)</w:t>
            </w:r>
          </w:p>
        </w:tc>
      </w:tr>
    </w:tbl>
    <w:p w:rsidR="00AB0B4C" w:rsidRPr="00AB0B4C" w:rsidRDefault="00AB0B4C" w:rsidP="00AB0B4C">
      <w:pPr>
        <w:ind w:hanging="2"/>
        <w:rPr>
          <w:b/>
          <w:lang w:val="en-US"/>
        </w:rPr>
      </w:pPr>
      <w:r w:rsidRPr="00AB0B4C">
        <w:rPr>
          <w:b/>
          <w:lang w:val="en-US"/>
        </w:rPr>
        <w:t xml:space="preserve">    </w:t>
      </w:r>
    </w:p>
    <w:p w:rsidR="00AB0B4C" w:rsidRPr="00A42A39" w:rsidRDefault="00AB0B4C" w:rsidP="00AB0B4C">
      <w:pPr>
        <w:ind w:hanging="2"/>
        <w:rPr>
          <w:lang w:val="en-US"/>
        </w:rPr>
      </w:pPr>
      <w:r>
        <w:rPr>
          <w:b/>
          <w:lang w:val="en-US"/>
        </w:rPr>
        <w:t xml:space="preserve">  </w:t>
      </w:r>
    </w:p>
    <w:p w:rsidR="00AB0B4C" w:rsidRDefault="00AB0B4C" w:rsidP="00AB0B4C">
      <w:pPr>
        <w:ind w:hanging="2"/>
      </w:pPr>
    </w:p>
    <w:p w:rsidR="006520F8" w:rsidRDefault="006520F8" w:rsidP="006520F8">
      <w:pPr>
        <w:rPr>
          <w:sz w:val="20"/>
          <w:lang w:val="en-US"/>
        </w:rPr>
      </w:pPr>
    </w:p>
    <w:p w:rsidR="006520F8" w:rsidRPr="00F63C44" w:rsidRDefault="006520F8" w:rsidP="006520F8">
      <w:pPr>
        <w:rPr>
          <w:sz w:val="4"/>
          <w:lang w:val="en-US"/>
        </w:rPr>
      </w:pPr>
    </w:p>
    <w:p w:rsidR="006520F8" w:rsidRDefault="006520F8" w:rsidP="006520F8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 w:rsidR="006520F8" w:rsidRDefault="006520F8" w:rsidP="006520F8">
      <w:pPr>
        <w:spacing w:after="0"/>
        <w:rPr>
          <w:sz w:val="20"/>
          <w:lang w:val="en-US"/>
        </w:rPr>
      </w:pPr>
    </w:p>
    <w:p w:rsidR="00CD28B4" w:rsidRPr="00CD28B4" w:rsidRDefault="00CD28B4" w:rsidP="00B032B5">
      <w:pPr>
        <w:tabs>
          <w:tab w:val="left" w:pos="11199"/>
          <w:tab w:val="left" w:pos="11340"/>
        </w:tabs>
        <w:spacing w:after="0"/>
        <w:ind w:left="-1080" w:right="-316"/>
        <w:jc w:val="both"/>
        <w:rPr>
          <w:rStyle w:val="Emphasis"/>
          <w:rFonts w:cstheme="minorHAnsi"/>
          <w:bCs/>
          <w:i w:val="0"/>
          <w:iCs w:val="0"/>
          <w:sz w:val="20"/>
          <w:szCs w:val="18"/>
          <w:shd w:val="clear" w:color="auto" w:fill="FFFFFF"/>
          <w:lang w:val="en-US"/>
        </w:rPr>
      </w:pPr>
    </w:p>
    <w:p w:rsidR="00CD28B4" w:rsidRPr="00CD28B4" w:rsidRDefault="00CD28B4" w:rsidP="00CD28B4">
      <w:pPr>
        <w:rPr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right="3774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right="3774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right="3774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right="3774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right="3774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right="3774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right="3774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left="330" w:right="3188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left="330" w:right="3188"/>
        <w:jc w:val="both"/>
        <w:rPr>
          <w:sz w:val="20"/>
          <w:lang w:val="en-US"/>
        </w:rPr>
      </w:pPr>
    </w:p>
    <w:p w:rsidR="00CD28B4" w:rsidRDefault="00CD28B4" w:rsidP="00CD28B4">
      <w:pPr>
        <w:tabs>
          <w:tab w:val="left" w:pos="11199"/>
          <w:tab w:val="left" w:pos="11340"/>
        </w:tabs>
        <w:ind w:left="330" w:right="3188"/>
        <w:jc w:val="both"/>
        <w:rPr>
          <w:sz w:val="20"/>
          <w:lang w:val="en-US"/>
        </w:rPr>
      </w:pPr>
    </w:p>
    <w:p w:rsidR="00765D12" w:rsidRPr="009E0D43" w:rsidRDefault="00765D12">
      <w:pPr>
        <w:rPr>
          <w:lang w:val="en-US"/>
        </w:rPr>
      </w:pPr>
      <w:bookmarkStart w:id="0" w:name="_GoBack"/>
      <w:bookmarkEnd w:id="0"/>
    </w:p>
    <w:sectPr w:rsidR="00765D12" w:rsidRPr="009E0D43" w:rsidSect="005F5C6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19" w:rsidRDefault="00541819" w:rsidP="009E0D43">
      <w:pPr>
        <w:spacing w:after="0" w:line="240" w:lineRule="auto"/>
      </w:pPr>
      <w:r>
        <w:separator/>
      </w:r>
    </w:p>
  </w:endnote>
  <w:endnote w:type="continuationSeparator" w:id="0">
    <w:p w:rsidR="00541819" w:rsidRDefault="00541819" w:rsidP="009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5611"/>
      <w:docPartObj>
        <w:docPartGallery w:val="Page Numbers (Bottom of Page)"/>
        <w:docPartUnique/>
      </w:docPartObj>
    </w:sdtPr>
    <w:sdtEndPr/>
    <w:sdtContent>
      <w:p w:rsidR="00FA2AB3" w:rsidRDefault="005418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3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2AB3" w:rsidRDefault="00FA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19" w:rsidRDefault="00541819" w:rsidP="009E0D43">
      <w:pPr>
        <w:spacing w:after="0" w:line="240" w:lineRule="auto"/>
      </w:pPr>
      <w:r>
        <w:separator/>
      </w:r>
    </w:p>
  </w:footnote>
  <w:footnote w:type="continuationSeparator" w:id="0">
    <w:p w:rsidR="00541819" w:rsidRDefault="00541819" w:rsidP="009E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18D"/>
    <w:multiLevelType w:val="hybridMultilevel"/>
    <w:tmpl w:val="947E2FD0"/>
    <w:lvl w:ilvl="0" w:tplc="0ADE6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F5D"/>
    <w:multiLevelType w:val="multilevel"/>
    <w:tmpl w:val="3978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F6860"/>
    <w:multiLevelType w:val="multilevel"/>
    <w:tmpl w:val="D97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76A01"/>
    <w:multiLevelType w:val="hybridMultilevel"/>
    <w:tmpl w:val="F3BCFE66"/>
    <w:lvl w:ilvl="0" w:tplc="D9E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43"/>
    <w:rsid w:val="000718E4"/>
    <w:rsid w:val="000B741A"/>
    <w:rsid w:val="000D7057"/>
    <w:rsid w:val="001462BA"/>
    <w:rsid w:val="00172B76"/>
    <w:rsid w:val="0018773E"/>
    <w:rsid w:val="001C1B68"/>
    <w:rsid w:val="001E6A2A"/>
    <w:rsid w:val="002018A8"/>
    <w:rsid w:val="002448E7"/>
    <w:rsid w:val="0025180D"/>
    <w:rsid w:val="00261A3D"/>
    <w:rsid w:val="00290C35"/>
    <w:rsid w:val="00335997"/>
    <w:rsid w:val="003D2566"/>
    <w:rsid w:val="00434050"/>
    <w:rsid w:val="00466162"/>
    <w:rsid w:val="00476F9C"/>
    <w:rsid w:val="00484190"/>
    <w:rsid w:val="004F51AC"/>
    <w:rsid w:val="0050792C"/>
    <w:rsid w:val="00541819"/>
    <w:rsid w:val="0058611D"/>
    <w:rsid w:val="005D44B8"/>
    <w:rsid w:val="005F216A"/>
    <w:rsid w:val="005F5C61"/>
    <w:rsid w:val="005F7DCE"/>
    <w:rsid w:val="00612F52"/>
    <w:rsid w:val="006520F8"/>
    <w:rsid w:val="00653250"/>
    <w:rsid w:val="00676042"/>
    <w:rsid w:val="00677075"/>
    <w:rsid w:val="006C0D07"/>
    <w:rsid w:val="006E02F2"/>
    <w:rsid w:val="00735A15"/>
    <w:rsid w:val="00750712"/>
    <w:rsid w:val="00765D12"/>
    <w:rsid w:val="007C5D82"/>
    <w:rsid w:val="008002B8"/>
    <w:rsid w:val="008008E3"/>
    <w:rsid w:val="00830059"/>
    <w:rsid w:val="00883108"/>
    <w:rsid w:val="00885B1F"/>
    <w:rsid w:val="008934E8"/>
    <w:rsid w:val="008A502B"/>
    <w:rsid w:val="0091392C"/>
    <w:rsid w:val="00915738"/>
    <w:rsid w:val="009612B9"/>
    <w:rsid w:val="009E062C"/>
    <w:rsid w:val="009E0D43"/>
    <w:rsid w:val="009E5EDE"/>
    <w:rsid w:val="009F7193"/>
    <w:rsid w:val="00A31026"/>
    <w:rsid w:val="00A46977"/>
    <w:rsid w:val="00A85DC6"/>
    <w:rsid w:val="00AA45B7"/>
    <w:rsid w:val="00AB0B4C"/>
    <w:rsid w:val="00AF33B0"/>
    <w:rsid w:val="00B032B5"/>
    <w:rsid w:val="00B124AD"/>
    <w:rsid w:val="00B32D03"/>
    <w:rsid w:val="00B5024F"/>
    <w:rsid w:val="00B60208"/>
    <w:rsid w:val="00BB305B"/>
    <w:rsid w:val="00C00C43"/>
    <w:rsid w:val="00C35ED0"/>
    <w:rsid w:val="00CA737C"/>
    <w:rsid w:val="00CD28B4"/>
    <w:rsid w:val="00D31013"/>
    <w:rsid w:val="00D62992"/>
    <w:rsid w:val="00D90DD1"/>
    <w:rsid w:val="00DD1320"/>
    <w:rsid w:val="00E37843"/>
    <w:rsid w:val="00E50088"/>
    <w:rsid w:val="00E57A1C"/>
    <w:rsid w:val="00E7166F"/>
    <w:rsid w:val="00EC17DF"/>
    <w:rsid w:val="00EE4EB3"/>
    <w:rsid w:val="00F27AFC"/>
    <w:rsid w:val="00F50829"/>
    <w:rsid w:val="00F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6EA2"/>
  <w15:docId w15:val="{638018E5-F645-47FC-A610-0AB7C9C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0D43"/>
    <w:rPr>
      <w:i/>
      <w:iCs/>
    </w:rPr>
  </w:style>
  <w:style w:type="table" w:styleId="TableGrid">
    <w:name w:val="Table Grid"/>
    <w:basedOn w:val="TableNormal"/>
    <w:uiPriority w:val="59"/>
    <w:rsid w:val="009E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0D4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D43"/>
  </w:style>
  <w:style w:type="paragraph" w:styleId="Footer">
    <w:name w:val="footer"/>
    <w:basedOn w:val="Normal"/>
    <w:link w:val="FooterChar"/>
    <w:uiPriority w:val="99"/>
    <w:unhideWhenUsed/>
    <w:rsid w:val="009E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43"/>
  </w:style>
  <w:style w:type="character" w:styleId="Hyperlink">
    <w:name w:val="Hyperlink"/>
    <w:basedOn w:val="DefaultParagraphFont"/>
    <w:uiPriority w:val="99"/>
    <w:unhideWhenUsed/>
    <w:rsid w:val="00765D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D12"/>
    <w:pPr>
      <w:ind w:left="720"/>
      <w:contextualSpacing/>
    </w:pPr>
  </w:style>
  <w:style w:type="paragraph" w:customStyle="1" w:styleId="Default">
    <w:name w:val="Default"/>
    <w:rsid w:val="00765D1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Rincón López</dc:creator>
  <cp:lastModifiedBy>Bhushan Tandale</cp:lastModifiedBy>
  <cp:revision>13</cp:revision>
  <dcterms:created xsi:type="dcterms:W3CDTF">2021-03-01T18:34:00Z</dcterms:created>
  <dcterms:modified xsi:type="dcterms:W3CDTF">2021-03-16T08:17:00Z</dcterms:modified>
</cp:coreProperties>
</file>