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after="120"/>
        <w:ind w:left="44" w:leftChars="21"/>
        <w:rPr>
          <w:rFonts w:ascii="Times New Roman" w:hAnsi="Times New Roman" w:cs="Times New Roman"/>
          <w:b/>
          <w:bCs/>
          <w:iCs/>
          <w:sz w:val="24"/>
          <w:szCs w:val="24"/>
          <w:lang w:bidi="ar"/>
        </w:rPr>
      </w:pPr>
      <w:r>
        <w:rPr>
          <w:rFonts w:ascii="Times New Roman" w:hAnsi="Times New Roman" w:cs="Times New Roman"/>
          <w:b/>
          <w:bCs/>
          <w:iCs/>
          <w:sz w:val="24"/>
          <w:szCs w:val="24"/>
          <w:lang w:bidi="ar"/>
        </w:rPr>
        <w:t>Supplemental Tables and Figures</w:t>
      </w:r>
    </w:p>
    <w:p>
      <w:pPr>
        <w:ind w:left="44" w:leftChars="21" w:firstLine="425"/>
        <w:jc w:val="center"/>
        <w:rPr>
          <w:rFonts w:ascii="Times New Roman" w:hAnsi="Times New Roman" w:cs="Times New Roman"/>
        </w:rPr>
      </w:pPr>
      <w:r>
        <w:rPr>
          <w:rFonts w:ascii="Times New Roman" w:hAnsi="Times New Roman" w:cs="Times New Roman"/>
        </w:rPr>
        <w:drawing>
          <wp:inline distT="0" distB="0" distL="0" distR="0">
            <wp:extent cx="5274310" cy="3734435"/>
            <wp:effectExtent l="0" t="0" r="13970" b="1460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3734648"/>
                    </a:xfrm>
                    <a:prstGeom prst="rect">
                      <a:avLst/>
                    </a:prstGeom>
                    <a:noFill/>
                    <a:ln>
                      <a:noFill/>
                    </a:ln>
                  </pic:spPr>
                </pic:pic>
              </a:graphicData>
            </a:graphic>
          </wp:inline>
        </w:drawing>
      </w:r>
    </w:p>
    <w:p>
      <w:pPr>
        <w:adjustRightInd w:val="0"/>
        <w:snapToGrid w:val="0"/>
        <w:ind w:left="44" w:leftChars="21"/>
        <w:rPr>
          <w:rFonts w:ascii="Times New Roman" w:hAnsi="Times New Roman" w:cs="Times New Roman"/>
          <w:sz w:val="20"/>
          <w:szCs w:val="20"/>
        </w:rPr>
      </w:pPr>
      <w:r>
        <w:rPr>
          <w:rFonts w:ascii="Times New Roman" w:hAnsi="Times New Roman" w:cs="Times New Roman"/>
          <w:b/>
          <w:sz w:val="20"/>
          <w:szCs w:val="20"/>
        </w:rPr>
        <w:t xml:space="preserve">Supplementary </w:t>
      </w:r>
      <w:r>
        <w:rPr>
          <w:rFonts w:ascii="Times New Roman" w:hAnsi="Times New Roman" w:eastAsia="等线" w:cs="Times New Roman"/>
          <w:b/>
          <w:bCs/>
          <w:color w:val="000000" w:themeColor="text1"/>
          <w:kern w:val="24"/>
          <w:sz w:val="20"/>
          <w:szCs w:val="20"/>
          <w14:textFill>
            <w14:solidFill>
              <w14:schemeClr w14:val="tx1"/>
            </w14:solidFill>
          </w14:textFill>
        </w:rPr>
        <w:t>Figure 1. The bar plots show the relative abundance of bacterial taxa between healthy and caries</w:t>
      </w:r>
      <w:r>
        <w:rPr>
          <w:rFonts w:ascii="Times New Roman" w:hAnsi="Times New Roman" w:cs="Times New Roman"/>
          <w:b/>
          <w:bCs/>
          <w:color w:val="000000" w:themeColor="text1"/>
          <w:kern w:val="24"/>
          <w:sz w:val="20"/>
          <w:szCs w:val="20"/>
          <w14:textFill>
            <w14:solidFill>
              <w14:schemeClr w14:val="tx1"/>
            </w14:solidFill>
          </w14:textFill>
        </w:rPr>
        <w:t>-active</w:t>
      </w:r>
      <w:r>
        <w:rPr>
          <w:rFonts w:ascii="Times New Roman" w:hAnsi="Times New Roman" w:eastAsia="等线" w:cs="Times New Roman"/>
          <w:b/>
          <w:bCs/>
          <w:color w:val="000000" w:themeColor="text1"/>
          <w:kern w:val="24"/>
          <w:sz w:val="20"/>
          <w:szCs w:val="20"/>
          <w14:textFill>
            <w14:solidFill>
              <w14:schemeClr w14:val="tx1"/>
            </w14:solidFill>
          </w14:textFill>
        </w:rPr>
        <w:t xml:space="preserve"> children in the Qingdao city of China. </w:t>
      </w:r>
      <w:r>
        <w:rPr>
          <w:rFonts w:ascii="Times New Roman" w:hAnsi="Times New Roman" w:eastAsia="等线" w:cs="Times New Roman"/>
          <w:color w:val="231F20"/>
          <w:kern w:val="24"/>
          <w:sz w:val="20"/>
          <w:szCs w:val="20"/>
        </w:rPr>
        <w:t>(A)</w:t>
      </w:r>
      <w:r>
        <w:rPr>
          <w:rFonts w:ascii="Times New Roman" w:hAnsi="Times New Roman" w:eastAsia="等线" w:cs="Times New Roman"/>
          <w:b/>
          <w:bCs/>
          <w:color w:val="000000" w:themeColor="text1"/>
          <w:kern w:val="24"/>
          <w:sz w:val="20"/>
          <w:szCs w:val="20"/>
          <w14:textFill>
            <w14:solidFill>
              <w14:schemeClr w14:val="tx1"/>
            </w14:solidFill>
          </w14:textFill>
        </w:rPr>
        <w:t xml:space="preserve"> </w:t>
      </w:r>
      <w:r>
        <w:rPr>
          <w:rFonts w:ascii="Times New Roman" w:hAnsi="Times New Roman" w:eastAsia="等线" w:cs="Times New Roman"/>
          <w:color w:val="231F20"/>
          <w:kern w:val="24"/>
          <w:sz w:val="20"/>
          <w:szCs w:val="20"/>
        </w:rPr>
        <w:t xml:space="preserve">Relative abundances of microbial at the phylum, genus, species level, respectively. (B) Relative abundances of microbial at the genus level between H and C group. (C) Relative abundances of microbial at the species level between H and C group. Significance determined by </w:t>
      </w:r>
      <w:r>
        <w:rPr>
          <w:rFonts w:ascii="Times New Roman" w:hAnsi="Times New Roman" w:eastAsia="等线" w:cs="Times New Roman"/>
          <w:i/>
          <w:iCs/>
          <w:color w:val="231F20"/>
          <w:kern w:val="24"/>
          <w:sz w:val="20"/>
          <w:szCs w:val="20"/>
        </w:rPr>
        <w:t>p</w:t>
      </w:r>
      <w:r>
        <w:rPr>
          <w:rFonts w:ascii="Times New Roman" w:hAnsi="Times New Roman" w:eastAsia="等线" w:cs="Times New Roman"/>
          <w:color w:val="231F20"/>
          <w:kern w:val="24"/>
          <w:sz w:val="20"/>
          <w:szCs w:val="20"/>
        </w:rPr>
        <w:t xml:space="preserve">&lt;0.05(*), </w:t>
      </w:r>
      <w:r>
        <w:rPr>
          <w:rFonts w:ascii="Times New Roman" w:hAnsi="Times New Roman" w:eastAsia="等线" w:cs="Times New Roman"/>
          <w:i/>
          <w:iCs/>
          <w:color w:val="231F20"/>
          <w:kern w:val="24"/>
          <w:sz w:val="20"/>
          <w:szCs w:val="20"/>
        </w:rPr>
        <w:t>p</w:t>
      </w:r>
      <w:r>
        <w:rPr>
          <w:rFonts w:ascii="Times New Roman" w:hAnsi="Times New Roman" w:eastAsia="等线" w:cs="Times New Roman"/>
          <w:color w:val="231F20"/>
          <w:kern w:val="24"/>
          <w:sz w:val="20"/>
          <w:szCs w:val="20"/>
        </w:rPr>
        <w:t xml:space="preserve">≤0.01 (**), </w:t>
      </w:r>
      <w:r>
        <w:rPr>
          <w:rFonts w:ascii="Times New Roman" w:hAnsi="Times New Roman" w:eastAsia="等线" w:cs="Times New Roman"/>
          <w:i/>
          <w:iCs/>
          <w:color w:val="231F20"/>
          <w:kern w:val="24"/>
          <w:sz w:val="20"/>
          <w:szCs w:val="20"/>
        </w:rPr>
        <w:t>p</w:t>
      </w:r>
      <w:r>
        <w:rPr>
          <w:rFonts w:ascii="Times New Roman" w:hAnsi="Times New Roman" w:eastAsia="等线" w:cs="Times New Roman"/>
          <w:color w:val="231F20"/>
          <w:kern w:val="24"/>
          <w:sz w:val="20"/>
          <w:szCs w:val="20"/>
        </w:rPr>
        <w:t>≤0.001 (***)</w:t>
      </w:r>
      <w:bookmarkStart w:id="0" w:name="_GoBack"/>
      <w:bookmarkEnd w:id="0"/>
      <w:r>
        <w:rPr>
          <w:rFonts w:ascii="Times New Roman" w:hAnsi="Times New Roman" w:eastAsia="等线" w:cs="Times New Roman"/>
          <w:color w:val="231F20"/>
          <w:kern w:val="24"/>
          <w:sz w:val="20"/>
          <w:szCs w:val="20"/>
        </w:rPr>
        <w:t>.</w:t>
      </w:r>
    </w:p>
    <w:p>
      <w:pPr>
        <w:ind w:left="44" w:leftChars="21" w:firstLine="425"/>
        <w:jc w:val="center"/>
        <w:rPr>
          <w:rFonts w:ascii="Times New Roman" w:hAnsi="Times New Roman" w:cs="Times New Roman"/>
        </w:rPr>
      </w:pPr>
      <w:r>
        <w:rPr>
          <w:rFonts w:ascii="Times New Roman" w:hAnsi="Times New Roman" w:cs="Times New Roman"/>
        </w:rPr>
        <w:drawing>
          <wp:inline distT="0" distB="0" distL="0" distR="0">
            <wp:extent cx="5274310" cy="5883910"/>
            <wp:effectExtent l="0" t="0" r="13970" b="1397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5884356"/>
                    </a:xfrm>
                    <a:prstGeom prst="rect">
                      <a:avLst/>
                    </a:prstGeom>
                    <a:noFill/>
                    <a:ln>
                      <a:noFill/>
                    </a:ln>
                  </pic:spPr>
                </pic:pic>
              </a:graphicData>
            </a:graphic>
          </wp:inline>
        </w:drawing>
      </w:r>
    </w:p>
    <w:p>
      <w:pPr>
        <w:pStyle w:val="4"/>
        <w:spacing w:before="0" w:beforeAutospacing="0" w:after="0" w:afterAutospacing="0"/>
        <w:ind w:left="44" w:leftChars="21"/>
        <w:jc w:val="both"/>
        <w:textAlignment w:val="baseline"/>
        <w:rPr>
          <w:sz w:val="20"/>
          <w:szCs w:val="20"/>
        </w:rPr>
      </w:pPr>
      <w:r>
        <w:rPr>
          <w:b/>
          <w:sz w:val="20"/>
          <w:szCs w:val="20"/>
        </w:rPr>
        <w:t xml:space="preserve">Supplementary </w:t>
      </w:r>
      <w:r>
        <w:rPr>
          <w:b/>
          <w:bCs/>
          <w:color w:val="000000" w:themeColor="text1"/>
          <w:kern w:val="24"/>
          <w:sz w:val="20"/>
          <w:szCs w:val="20"/>
          <w14:textFill>
            <w14:solidFill>
              <w14:schemeClr w14:val="tx1"/>
            </w14:solidFill>
          </w14:textFill>
        </w:rPr>
        <w:t xml:space="preserve">Figure 2. Geography-associated oral microbiome. </w:t>
      </w:r>
      <w:r>
        <w:rPr>
          <w:bCs/>
          <w:color w:val="000000" w:themeColor="text1"/>
          <w:kern w:val="24"/>
          <w:sz w:val="20"/>
          <w:szCs w:val="20"/>
          <w14:textFill>
            <w14:solidFill>
              <w14:schemeClr w14:val="tx1"/>
            </w14:solidFill>
          </w14:textFill>
        </w:rPr>
        <w:t>(</w:t>
      </w:r>
      <w:r>
        <w:rPr>
          <w:b/>
          <w:color w:val="000000" w:themeColor="text1"/>
          <w:kern w:val="24"/>
          <w:sz w:val="20"/>
          <w:szCs w:val="20"/>
          <w14:textFill>
            <w14:solidFill>
              <w14:schemeClr w14:val="tx1"/>
            </w14:solidFill>
          </w14:textFill>
        </w:rPr>
        <w:t>A</w:t>
      </w:r>
      <w:r>
        <w:rPr>
          <w:bCs/>
          <w:color w:val="000000" w:themeColor="text1"/>
          <w:kern w:val="24"/>
          <w:sz w:val="20"/>
          <w:szCs w:val="20"/>
          <w14:textFill>
            <w14:solidFill>
              <w14:schemeClr w14:val="tx1"/>
            </w14:solidFill>
          </w14:textFill>
        </w:rPr>
        <w:t>)</w:t>
      </w:r>
      <w:r>
        <w:rPr>
          <w:b/>
          <w:bCs/>
          <w:color w:val="000000" w:themeColor="text1"/>
          <w:kern w:val="24"/>
          <w:sz w:val="20"/>
          <w:szCs w:val="20"/>
          <w14:textFill>
            <w14:solidFill>
              <w14:schemeClr w14:val="tx1"/>
            </w14:solidFill>
          </w14:textFill>
        </w:rPr>
        <w:t xml:space="preserve"> </w:t>
      </w:r>
      <w:r>
        <w:rPr>
          <w:rFonts w:eastAsia="等线"/>
          <w:color w:val="000000" w:themeColor="text1"/>
          <w:kern w:val="24"/>
          <w:sz w:val="20"/>
          <w:szCs w:val="20"/>
          <w14:textFill>
            <w14:solidFill>
              <w14:schemeClr w14:val="tx1"/>
            </w14:solidFill>
          </w14:textFill>
        </w:rPr>
        <w:t xml:space="preserve">Boxplots indicate the relative abundance of the 8 species between Qingdao and Guangzhou group. </w:t>
      </w:r>
      <w:r>
        <w:rPr>
          <w:rFonts w:eastAsia="等线"/>
          <w:bCs/>
          <w:color w:val="000000" w:themeColor="text1"/>
          <w:kern w:val="24"/>
          <w:sz w:val="20"/>
          <w:szCs w:val="20"/>
          <w14:textFill>
            <w14:solidFill>
              <w14:schemeClr w14:val="tx1"/>
            </w14:solidFill>
          </w14:textFill>
        </w:rPr>
        <w:t>(</w:t>
      </w:r>
      <w:r>
        <w:rPr>
          <w:rFonts w:eastAsia="等线"/>
          <w:b/>
          <w:color w:val="000000" w:themeColor="text1"/>
          <w:kern w:val="24"/>
          <w:sz w:val="20"/>
          <w:szCs w:val="20"/>
          <w14:textFill>
            <w14:solidFill>
              <w14:schemeClr w14:val="tx1"/>
            </w14:solidFill>
          </w14:textFill>
        </w:rPr>
        <w:t>B</w:t>
      </w:r>
      <w:r>
        <w:rPr>
          <w:rFonts w:eastAsia="等线"/>
          <w:bCs/>
          <w:color w:val="000000" w:themeColor="text1"/>
          <w:kern w:val="24"/>
          <w:sz w:val="20"/>
          <w:szCs w:val="20"/>
          <w14:textFill>
            <w14:solidFill>
              <w14:schemeClr w14:val="tx1"/>
            </w14:solidFill>
          </w14:textFill>
        </w:rPr>
        <w:t>)</w:t>
      </w:r>
      <w:r>
        <w:rPr>
          <w:rFonts w:eastAsia="等线"/>
          <w:b/>
          <w:bCs/>
          <w:color w:val="000000" w:themeColor="text1"/>
          <w:kern w:val="24"/>
          <w:sz w:val="20"/>
          <w:szCs w:val="20"/>
          <w14:textFill>
            <w14:solidFill>
              <w14:schemeClr w14:val="tx1"/>
            </w14:solidFill>
          </w14:textFill>
        </w:rPr>
        <w:t xml:space="preserve"> </w:t>
      </w:r>
      <w:r>
        <w:rPr>
          <w:rFonts w:eastAsia="等线"/>
          <w:color w:val="000000" w:themeColor="text1"/>
          <w:kern w:val="24"/>
          <w:sz w:val="20"/>
          <w:szCs w:val="20"/>
          <w14:textFill>
            <w14:solidFill>
              <w14:schemeClr w14:val="tx1"/>
            </w14:solidFill>
          </w14:textFill>
        </w:rPr>
        <w:t>A classification model classified the city of origin based on 8 key microbial drivers</w:t>
      </w:r>
      <w:r>
        <w:rPr>
          <w:color w:val="000000" w:themeColor="text1"/>
          <w:kern w:val="24"/>
          <w:sz w:val="20"/>
          <w:szCs w:val="20"/>
          <w14:textFill>
            <w14:solidFill>
              <w14:schemeClr w14:val="tx1"/>
            </w14:solidFill>
          </w14:textFill>
        </w:rPr>
        <w:t xml:space="preserve"> from hosts in the C group</w:t>
      </w:r>
      <w:r>
        <w:rPr>
          <w:rFonts w:eastAsia="等线"/>
          <w:color w:val="000000" w:themeColor="text1"/>
          <w:kern w:val="24"/>
          <w:sz w:val="20"/>
          <w:szCs w:val="20"/>
          <w14:textFill>
            <w14:solidFill>
              <w14:schemeClr w14:val="tx1"/>
            </w14:solidFill>
          </w14:textFill>
        </w:rPr>
        <w:t xml:space="preserve">. </w:t>
      </w:r>
      <w:r>
        <w:rPr>
          <w:rFonts w:eastAsia="等线"/>
          <w:bCs/>
          <w:color w:val="000000" w:themeColor="text1"/>
          <w:kern w:val="24"/>
          <w:sz w:val="20"/>
          <w:szCs w:val="20"/>
          <w14:textFill>
            <w14:solidFill>
              <w14:schemeClr w14:val="tx1"/>
            </w14:solidFill>
          </w14:textFill>
        </w:rPr>
        <w:t>(</w:t>
      </w:r>
      <w:r>
        <w:rPr>
          <w:rFonts w:eastAsia="等线"/>
          <w:b/>
          <w:color w:val="000000" w:themeColor="text1"/>
          <w:kern w:val="24"/>
          <w:sz w:val="20"/>
          <w:szCs w:val="20"/>
          <w14:textFill>
            <w14:solidFill>
              <w14:schemeClr w14:val="tx1"/>
            </w14:solidFill>
          </w14:textFill>
        </w:rPr>
        <w:t>C</w:t>
      </w:r>
      <w:r>
        <w:rPr>
          <w:rFonts w:eastAsia="等线"/>
          <w:bCs/>
          <w:color w:val="000000" w:themeColor="text1"/>
          <w:kern w:val="24"/>
          <w:sz w:val="20"/>
          <w:szCs w:val="20"/>
          <w14:textFill>
            <w14:solidFill>
              <w14:schemeClr w14:val="tx1"/>
            </w14:solidFill>
          </w14:textFill>
        </w:rPr>
        <w:t>)</w:t>
      </w:r>
      <w:r>
        <w:rPr>
          <w:rFonts w:eastAsia="等线"/>
          <w:b/>
          <w:bCs/>
          <w:color w:val="000000" w:themeColor="text1"/>
          <w:kern w:val="24"/>
          <w:sz w:val="20"/>
          <w:szCs w:val="20"/>
          <w14:textFill>
            <w14:solidFill>
              <w14:schemeClr w14:val="tx1"/>
            </w14:solidFill>
          </w14:textFill>
        </w:rPr>
        <w:t xml:space="preserve"> </w:t>
      </w:r>
      <w:r>
        <w:rPr>
          <w:rFonts w:eastAsia="等线"/>
          <w:color w:val="000000" w:themeColor="text1"/>
          <w:kern w:val="24"/>
          <w:sz w:val="20"/>
          <w:szCs w:val="20"/>
          <w14:textFill>
            <w14:solidFill>
              <w14:schemeClr w14:val="tx1"/>
            </w14:solidFill>
          </w14:textFill>
        </w:rPr>
        <w:t>Box plot shows the prediction probability of Guangzhou city in caries samples. The probability of Guangzhou city was significantly higher in the Guangzhou samples than in the Qingdao samples from the C group.</w:t>
      </w:r>
    </w:p>
    <w:p>
      <w:pPr>
        <w:ind w:left="44" w:leftChars="21" w:firstLine="425"/>
        <w:jc w:val="center"/>
        <w:rPr>
          <w:rFonts w:ascii="Times New Roman" w:hAnsi="Times New Roman" w:cs="Times New Roman"/>
        </w:rPr>
      </w:pPr>
      <w:r>
        <w:rPr>
          <w:rFonts w:ascii="Times New Roman" w:hAnsi="Times New Roman" w:cs="Times New Roman"/>
        </w:rPr>
        <w:drawing>
          <wp:inline distT="0" distB="0" distL="0" distR="0">
            <wp:extent cx="5274310" cy="5036185"/>
            <wp:effectExtent l="0" t="0" r="13970" b="825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5036627"/>
                    </a:xfrm>
                    <a:prstGeom prst="rect">
                      <a:avLst/>
                    </a:prstGeom>
                    <a:noFill/>
                    <a:ln>
                      <a:noFill/>
                    </a:ln>
                  </pic:spPr>
                </pic:pic>
              </a:graphicData>
            </a:graphic>
          </wp:inline>
        </w:drawing>
      </w:r>
    </w:p>
    <w:p>
      <w:pPr>
        <w:pStyle w:val="4"/>
        <w:spacing w:before="0" w:beforeAutospacing="0" w:after="0" w:afterAutospacing="0"/>
        <w:ind w:left="44" w:leftChars="21"/>
        <w:jc w:val="both"/>
        <w:textAlignment w:val="baseline"/>
        <w:rPr>
          <w:sz w:val="20"/>
          <w:szCs w:val="20"/>
        </w:rPr>
      </w:pPr>
      <w:r>
        <w:rPr>
          <w:b/>
          <w:sz w:val="20"/>
          <w:szCs w:val="20"/>
        </w:rPr>
        <w:t xml:space="preserve">Supplementary </w:t>
      </w:r>
      <w:r>
        <w:rPr>
          <w:b/>
          <w:bCs/>
          <w:color w:val="000000" w:themeColor="text1"/>
          <w:kern w:val="24"/>
          <w:sz w:val="20"/>
          <w:szCs w:val="20"/>
          <w14:textFill>
            <w14:solidFill>
              <w14:schemeClr w14:val="tx1"/>
            </w14:solidFill>
          </w14:textFill>
        </w:rPr>
        <w:t xml:space="preserve">Figure 3. Alpha and beta diversity of all samples in term of disease status. </w:t>
      </w:r>
      <w:r>
        <w:rPr>
          <w:bCs/>
          <w:color w:val="000000" w:themeColor="text1"/>
          <w:kern w:val="24"/>
          <w:sz w:val="20"/>
          <w:szCs w:val="20"/>
          <w14:textFill>
            <w14:solidFill>
              <w14:schemeClr w14:val="tx1"/>
            </w14:solidFill>
          </w14:textFill>
        </w:rPr>
        <w:t>(</w:t>
      </w:r>
      <w:r>
        <w:rPr>
          <w:b/>
          <w:color w:val="000000" w:themeColor="text1"/>
          <w:kern w:val="24"/>
          <w:sz w:val="20"/>
          <w:szCs w:val="20"/>
          <w14:textFill>
            <w14:solidFill>
              <w14:schemeClr w14:val="tx1"/>
            </w14:solidFill>
          </w14:textFill>
        </w:rPr>
        <w:t>A</w:t>
      </w:r>
      <w:r>
        <w:rPr>
          <w:bCs/>
          <w:color w:val="000000" w:themeColor="text1"/>
          <w:kern w:val="24"/>
          <w:sz w:val="20"/>
          <w:szCs w:val="20"/>
          <w14:textFill>
            <w14:solidFill>
              <w14:schemeClr w14:val="tx1"/>
            </w14:solidFill>
          </w14:textFill>
        </w:rPr>
        <w:t xml:space="preserve">) </w:t>
      </w:r>
      <w:r>
        <w:rPr>
          <w:color w:val="000000" w:themeColor="text1"/>
          <w:kern w:val="24"/>
          <w:sz w:val="20"/>
          <w:szCs w:val="20"/>
          <w14:textFill>
            <w14:solidFill>
              <w14:schemeClr w14:val="tx1"/>
            </w14:solidFill>
          </w14:textFill>
        </w:rPr>
        <w:t xml:space="preserve">Caries samples featured a reduction in alpha diversity. </w:t>
      </w:r>
      <w:r>
        <w:rPr>
          <w:bCs/>
          <w:color w:val="000000" w:themeColor="text1"/>
          <w:kern w:val="24"/>
          <w:sz w:val="20"/>
          <w:szCs w:val="20"/>
          <w14:textFill>
            <w14:solidFill>
              <w14:schemeClr w14:val="tx1"/>
            </w14:solidFill>
          </w14:textFill>
        </w:rPr>
        <w:t>(</w:t>
      </w:r>
      <w:r>
        <w:rPr>
          <w:b/>
          <w:color w:val="000000" w:themeColor="text1"/>
          <w:kern w:val="24"/>
          <w:sz w:val="20"/>
          <w:szCs w:val="20"/>
          <w14:textFill>
            <w14:solidFill>
              <w14:schemeClr w14:val="tx1"/>
            </w14:solidFill>
          </w14:textFill>
        </w:rPr>
        <w:t>B</w:t>
      </w:r>
      <w:r>
        <w:rPr>
          <w:bCs/>
          <w:color w:val="000000" w:themeColor="text1"/>
          <w:kern w:val="24"/>
          <w:sz w:val="20"/>
          <w:szCs w:val="20"/>
          <w14:textFill>
            <w14:solidFill>
              <w14:schemeClr w14:val="tx1"/>
            </w14:solidFill>
          </w14:textFill>
        </w:rPr>
        <w:t>)</w:t>
      </w:r>
      <w:r>
        <w:rPr>
          <w:color w:val="000000" w:themeColor="text1"/>
          <w:kern w:val="24"/>
          <w:sz w:val="20"/>
          <w:szCs w:val="20"/>
          <w14:textFill>
            <w14:solidFill>
              <w14:schemeClr w14:val="tx1"/>
            </w14:solidFill>
          </w14:textFill>
        </w:rPr>
        <w:t xml:space="preserve"> The beta diversity measured by Jensen-Shannon distance was distinctive between caries and healthy microbiota. </w:t>
      </w:r>
    </w:p>
    <w:p>
      <w:pPr>
        <w:ind w:left="44" w:leftChars="21" w:firstLine="425"/>
        <w:rPr>
          <w:rFonts w:ascii="Times New Roman" w:hAnsi="Times New Roman" w:cs="Times New Roman"/>
        </w:rPr>
      </w:pPr>
    </w:p>
    <w:p>
      <w:pPr>
        <w:ind w:left="44" w:leftChars="21" w:firstLine="425"/>
        <w:jc w:val="center"/>
        <w:rPr>
          <w:rFonts w:ascii="Times New Roman" w:hAnsi="Times New Roman" w:cs="Times New Roman"/>
        </w:rPr>
      </w:pPr>
      <w:r>
        <w:rPr>
          <w:rFonts w:ascii="Times New Roman" w:hAnsi="Times New Roman" w:cs="Times New Roman"/>
        </w:rPr>
        <w:drawing>
          <wp:inline distT="0" distB="0" distL="0" distR="0">
            <wp:extent cx="5274310" cy="1749425"/>
            <wp:effectExtent l="0" t="0" r="13970" b="317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1749544"/>
                    </a:xfrm>
                    <a:prstGeom prst="rect">
                      <a:avLst/>
                    </a:prstGeom>
                    <a:noFill/>
                    <a:ln>
                      <a:noFill/>
                    </a:ln>
                  </pic:spPr>
                </pic:pic>
              </a:graphicData>
            </a:graphic>
          </wp:inline>
        </w:drawing>
      </w:r>
    </w:p>
    <w:p>
      <w:pPr>
        <w:pStyle w:val="4"/>
        <w:spacing w:before="0" w:beforeAutospacing="0" w:after="0" w:afterAutospacing="0"/>
        <w:ind w:left="44" w:leftChars="21"/>
        <w:jc w:val="both"/>
        <w:textAlignment w:val="baseline"/>
        <w:rPr>
          <w:color w:val="000000" w:themeColor="text1"/>
          <w:kern w:val="24"/>
          <w:sz w:val="20"/>
          <w:szCs w:val="20"/>
          <w14:textFill>
            <w14:solidFill>
              <w14:schemeClr w14:val="tx1"/>
            </w14:solidFill>
          </w14:textFill>
        </w:rPr>
      </w:pPr>
      <w:r>
        <w:rPr>
          <w:b/>
          <w:sz w:val="20"/>
          <w:szCs w:val="20"/>
        </w:rPr>
        <w:t xml:space="preserve">Supplementary </w:t>
      </w:r>
      <w:r>
        <w:rPr>
          <w:b/>
          <w:bCs/>
          <w:color w:val="000000" w:themeColor="text1"/>
          <w:kern w:val="24"/>
          <w:sz w:val="20"/>
          <w:szCs w:val="20"/>
          <w14:textFill>
            <w14:solidFill>
              <w14:schemeClr w14:val="tx1"/>
            </w14:solidFill>
          </w14:textFill>
        </w:rPr>
        <w:t xml:space="preserve">Figure 4. </w:t>
      </w:r>
      <w:r>
        <w:rPr>
          <w:b w:val="0"/>
          <w:bCs w:val="0"/>
          <w:color w:val="000000" w:themeColor="text1"/>
          <w:kern w:val="24"/>
          <w:sz w:val="20"/>
          <w:szCs w:val="20"/>
          <w14:textFill>
            <w14:solidFill>
              <w14:schemeClr w14:val="tx1"/>
            </w14:solidFill>
          </w14:textFill>
        </w:rPr>
        <w:t xml:space="preserve">Classification </w:t>
      </w:r>
      <w:r>
        <w:rPr>
          <w:color w:val="000000" w:themeColor="text1"/>
          <w:kern w:val="24"/>
          <w:sz w:val="20"/>
          <w:szCs w:val="20"/>
          <w14:textFill>
            <w14:solidFill>
              <w14:schemeClr w14:val="tx1"/>
            </w14:solidFill>
          </w14:textFill>
        </w:rPr>
        <w:t xml:space="preserve">models based on taxa at the phylum </w:t>
      </w:r>
      <w:r>
        <w:rPr>
          <w:bCs/>
          <w:color w:val="000000" w:themeColor="text1"/>
          <w:kern w:val="24"/>
          <w:sz w:val="20"/>
          <w:szCs w:val="20"/>
          <w14:textFill>
            <w14:solidFill>
              <w14:schemeClr w14:val="tx1"/>
            </w14:solidFill>
          </w14:textFill>
        </w:rPr>
        <w:t>(</w:t>
      </w:r>
      <w:r>
        <w:rPr>
          <w:b/>
          <w:color w:val="000000" w:themeColor="text1"/>
          <w:kern w:val="24"/>
          <w:sz w:val="20"/>
          <w:szCs w:val="20"/>
          <w14:textFill>
            <w14:solidFill>
              <w14:schemeClr w14:val="tx1"/>
            </w14:solidFill>
          </w14:textFill>
        </w:rPr>
        <w:t>A</w:t>
      </w:r>
      <w:r>
        <w:rPr>
          <w:bCs/>
          <w:color w:val="000000" w:themeColor="text1"/>
          <w:kern w:val="24"/>
          <w:sz w:val="20"/>
          <w:szCs w:val="20"/>
          <w14:textFill>
            <w14:solidFill>
              <w14:schemeClr w14:val="tx1"/>
            </w14:solidFill>
          </w14:textFill>
        </w:rPr>
        <w:t>)</w:t>
      </w:r>
      <w:r>
        <w:rPr>
          <w:color w:val="000000" w:themeColor="text1"/>
          <w:kern w:val="24"/>
          <w:sz w:val="20"/>
          <w:szCs w:val="20"/>
          <w14:textFill>
            <w14:solidFill>
              <w14:schemeClr w14:val="tx1"/>
            </w14:solidFill>
          </w14:textFill>
        </w:rPr>
        <w:t xml:space="preserve">, genus </w:t>
      </w:r>
      <w:r>
        <w:rPr>
          <w:bCs/>
          <w:color w:val="000000" w:themeColor="text1"/>
          <w:kern w:val="24"/>
          <w:sz w:val="20"/>
          <w:szCs w:val="20"/>
          <w14:textFill>
            <w14:solidFill>
              <w14:schemeClr w14:val="tx1"/>
            </w14:solidFill>
          </w14:textFill>
        </w:rPr>
        <w:t>(</w:t>
      </w:r>
      <w:r>
        <w:rPr>
          <w:b/>
          <w:color w:val="000000" w:themeColor="text1"/>
          <w:kern w:val="24"/>
          <w:sz w:val="20"/>
          <w:szCs w:val="20"/>
          <w14:textFill>
            <w14:solidFill>
              <w14:schemeClr w14:val="tx1"/>
            </w14:solidFill>
          </w14:textFill>
        </w:rPr>
        <w:t>B</w:t>
      </w:r>
      <w:r>
        <w:rPr>
          <w:bCs/>
          <w:color w:val="000000" w:themeColor="text1"/>
          <w:kern w:val="24"/>
          <w:sz w:val="20"/>
          <w:szCs w:val="20"/>
          <w14:textFill>
            <w14:solidFill>
              <w14:schemeClr w14:val="tx1"/>
            </w14:solidFill>
          </w14:textFill>
        </w:rPr>
        <w:t xml:space="preserve">), </w:t>
      </w:r>
      <w:r>
        <w:rPr>
          <w:color w:val="000000" w:themeColor="text1"/>
          <w:kern w:val="24"/>
          <w:sz w:val="20"/>
          <w:szCs w:val="20"/>
          <w14:textFill>
            <w14:solidFill>
              <w14:schemeClr w14:val="tx1"/>
            </w14:solidFill>
          </w14:textFill>
        </w:rPr>
        <w:t>and species (</w:t>
      </w:r>
      <w:r>
        <w:rPr>
          <w:b/>
          <w:bCs/>
          <w:color w:val="000000" w:themeColor="text1"/>
          <w:kern w:val="24"/>
          <w:sz w:val="20"/>
          <w:szCs w:val="20"/>
          <w14:textFill>
            <w14:solidFill>
              <w14:schemeClr w14:val="tx1"/>
            </w14:solidFill>
          </w14:textFill>
        </w:rPr>
        <w:t>C</w:t>
      </w:r>
      <w:r>
        <w:rPr>
          <w:color w:val="000000" w:themeColor="text1"/>
          <w:kern w:val="24"/>
          <w:sz w:val="20"/>
          <w:szCs w:val="20"/>
          <w14:textFill>
            <w14:solidFill>
              <w14:schemeClr w14:val="tx1"/>
            </w14:solidFill>
          </w14:textFill>
        </w:rPr>
        <w:t xml:space="preserve">) levels to discriminate between healthy and caries samples from all geographic locations. The prediction accuracy (AUC) was maximized at the species level. The AUC of all samples-based Random Forests classifier of caries diagnosis is 64.11,77.61 and 88.56 respectively. </w:t>
      </w:r>
    </w:p>
    <w:p>
      <w:pPr>
        <w:pStyle w:val="4"/>
        <w:spacing w:before="0" w:beforeAutospacing="0" w:after="0" w:afterAutospacing="0"/>
        <w:ind w:left="44" w:leftChars="21" w:firstLine="425"/>
        <w:textAlignment w:val="baseline"/>
      </w:pPr>
    </w:p>
    <w:p>
      <w:pPr>
        <w:ind w:left="44" w:leftChars="21" w:firstLine="425"/>
        <w:jc w:val="center"/>
        <w:rPr>
          <w:rFonts w:ascii="Times New Roman" w:hAnsi="Times New Roman" w:cs="Times New Roman"/>
        </w:rPr>
      </w:pPr>
      <w:r>
        <w:rPr>
          <w:rFonts w:ascii="Times New Roman" w:hAnsi="Times New Roman" w:cs="Times New Roman"/>
        </w:rPr>
        <w:drawing>
          <wp:inline distT="0" distB="0" distL="0" distR="0">
            <wp:extent cx="5274310" cy="4938395"/>
            <wp:effectExtent l="0" t="0" r="13970" b="1460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4938659"/>
                    </a:xfrm>
                    <a:prstGeom prst="rect">
                      <a:avLst/>
                    </a:prstGeom>
                    <a:noFill/>
                    <a:ln>
                      <a:noFill/>
                    </a:ln>
                  </pic:spPr>
                </pic:pic>
              </a:graphicData>
            </a:graphic>
          </wp:inline>
        </w:drawing>
      </w:r>
    </w:p>
    <w:p>
      <w:pPr>
        <w:pStyle w:val="4"/>
        <w:spacing w:before="0" w:beforeAutospacing="0" w:after="0" w:afterAutospacing="0"/>
        <w:ind w:left="44" w:leftChars="21"/>
        <w:jc w:val="both"/>
        <w:textAlignment w:val="baseline"/>
        <w:rPr>
          <w:color w:val="000000" w:themeColor="text1"/>
          <w:kern w:val="24"/>
          <w:sz w:val="20"/>
          <w:szCs w:val="20"/>
          <w14:textFill>
            <w14:solidFill>
              <w14:schemeClr w14:val="tx1"/>
            </w14:solidFill>
          </w14:textFill>
        </w:rPr>
      </w:pPr>
      <w:r>
        <w:rPr>
          <w:b/>
          <w:sz w:val="20"/>
          <w:szCs w:val="20"/>
        </w:rPr>
        <w:t xml:space="preserve">Supplementary </w:t>
      </w:r>
      <w:r>
        <w:rPr>
          <w:rFonts w:eastAsia="等线"/>
          <w:b/>
          <w:bCs/>
          <w:color w:val="000000" w:themeColor="text1"/>
          <w:kern w:val="24"/>
          <w:sz w:val="20"/>
          <w:szCs w:val="20"/>
          <w14:textFill>
            <w14:solidFill>
              <w14:schemeClr w14:val="tx1"/>
            </w14:solidFill>
          </w14:textFill>
        </w:rPr>
        <w:t xml:space="preserve">Figure 5. </w:t>
      </w:r>
      <w:r>
        <w:rPr>
          <w:rFonts w:eastAsia="等线"/>
          <w:color w:val="000000" w:themeColor="text1"/>
          <w:kern w:val="24"/>
          <w:sz w:val="20"/>
          <w:szCs w:val="20"/>
          <w14:textFill>
            <w14:solidFill>
              <w14:schemeClr w14:val="tx1"/>
            </w14:solidFill>
          </w14:textFill>
        </w:rPr>
        <w:t>The</w:t>
      </w:r>
      <w:r>
        <w:rPr>
          <w:rFonts w:eastAsia="等线"/>
          <w:b/>
          <w:bCs/>
          <w:color w:val="000000" w:themeColor="text1"/>
          <w:kern w:val="24"/>
          <w:sz w:val="20"/>
          <w:szCs w:val="20"/>
          <w14:textFill>
            <w14:solidFill>
              <w14:schemeClr w14:val="tx1"/>
            </w14:solidFill>
          </w14:textFill>
        </w:rPr>
        <w:t xml:space="preserve"> </w:t>
      </w:r>
      <w:r>
        <w:rPr>
          <w:color w:val="000000" w:themeColor="text1"/>
          <w:kern w:val="24"/>
          <w:sz w:val="20"/>
          <w:szCs w:val="20"/>
          <w14:textFill>
            <w14:solidFill>
              <w14:schemeClr w14:val="tx1"/>
            </w14:solidFill>
          </w14:textFill>
        </w:rPr>
        <w:t>performance of cross-city prediction using each city-specific caries diagnostic models. The blue lines indicate the ROC curves evaluating the caries classification model self-validated in each city. The red lines indicate the ROC curves evaluating the application of a caries classification model from one city to another. The performance of the models and their applications to the other dataset was scored by AUC in the ROC analysis.</w:t>
      </w:r>
    </w:p>
    <w:p>
      <w:pPr>
        <w:ind w:left="44" w:leftChars="21" w:firstLine="425"/>
        <w:jc w:val="center"/>
        <w:rPr>
          <w:rFonts w:ascii="Times New Roman" w:hAnsi="Times New Roman" w:cs="Times New Roman"/>
        </w:rPr>
      </w:pPr>
      <w:r>
        <w:rPr>
          <w:rFonts w:ascii="Times New Roman" w:hAnsi="Times New Roman" w:cs="Times New Roman"/>
        </w:rPr>
        <w:drawing>
          <wp:inline distT="0" distB="0" distL="0" distR="0">
            <wp:extent cx="5274310" cy="3889375"/>
            <wp:effectExtent l="0" t="0" r="13970"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3889927"/>
                    </a:xfrm>
                    <a:prstGeom prst="rect">
                      <a:avLst/>
                    </a:prstGeom>
                    <a:noFill/>
                    <a:ln>
                      <a:noFill/>
                    </a:ln>
                  </pic:spPr>
                </pic:pic>
              </a:graphicData>
            </a:graphic>
          </wp:inline>
        </w:drawing>
      </w:r>
    </w:p>
    <w:p>
      <w:pPr>
        <w:pStyle w:val="4"/>
        <w:spacing w:before="0" w:beforeAutospacing="0" w:after="0" w:afterAutospacing="0"/>
        <w:ind w:left="44" w:leftChars="21"/>
        <w:jc w:val="both"/>
        <w:textAlignment w:val="baseline"/>
        <w:rPr>
          <w:sz w:val="20"/>
          <w:szCs w:val="20"/>
        </w:rPr>
      </w:pPr>
      <w:r>
        <w:rPr>
          <w:b/>
          <w:sz w:val="20"/>
          <w:szCs w:val="20"/>
        </w:rPr>
        <w:t xml:space="preserve">Supplementary </w:t>
      </w:r>
      <w:r>
        <w:rPr>
          <w:rFonts w:eastAsia="等线"/>
          <w:b/>
          <w:bCs/>
          <w:color w:val="000000" w:themeColor="text1"/>
          <w:kern w:val="24"/>
          <w:sz w:val="20"/>
          <w:szCs w:val="20"/>
          <w14:textFill>
            <w14:solidFill>
              <w14:schemeClr w14:val="tx1"/>
            </w14:solidFill>
          </w14:textFill>
        </w:rPr>
        <w:t>Figure 6. Contributions of the eight most discriminant species to microbiota-based classification of host status and geography.</w:t>
      </w:r>
      <w:r>
        <w:rPr>
          <w:rFonts w:eastAsia="等线"/>
          <w:color w:val="000000" w:themeColor="text1"/>
          <w:kern w:val="24"/>
          <w:sz w:val="20"/>
          <w:szCs w:val="20"/>
          <w14:textFill>
            <w14:solidFill>
              <w14:schemeClr w14:val="tx1"/>
            </w14:solidFill>
          </w14:textFill>
        </w:rPr>
        <w:t xml:space="preserve"> </w:t>
      </w:r>
      <w:r>
        <w:rPr>
          <w:color w:val="000000" w:themeColor="text1"/>
          <w:kern w:val="24"/>
          <w:sz w:val="20"/>
          <w:szCs w:val="20"/>
          <w14:textFill>
            <w14:solidFill>
              <w14:schemeClr w14:val="tx1"/>
            </w14:solidFill>
          </w14:textFill>
        </w:rPr>
        <w:t>The most discriminatory taxa (N=8) of geography do not show correlated with caries state. The scatterplot shows the relative rank of microbial markers in both Random Forest models for classifying disease status and geographic locations. Dots on the reference line which slope=1 suggests a taxon is equally important to both models.</w:t>
      </w:r>
    </w:p>
    <w:p>
      <w:pPr>
        <w:ind w:left="44" w:leftChars="21" w:firstLine="425"/>
        <w:jc w:val="center"/>
        <w:rPr>
          <w:rFonts w:ascii="Times New Roman" w:hAnsi="Times New Roman" w:cs="Times New Roman"/>
        </w:rPr>
      </w:pPr>
      <w:r>
        <w:rPr>
          <w:rFonts w:ascii="Times New Roman" w:hAnsi="Times New Roman" w:cs="Times New Roman"/>
        </w:rPr>
        <w:drawing>
          <wp:inline distT="0" distB="0" distL="0" distR="0">
            <wp:extent cx="4316730" cy="4401820"/>
            <wp:effectExtent l="0" t="0" r="1143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316730" cy="4401820"/>
                    </a:xfrm>
                    <a:prstGeom prst="rect">
                      <a:avLst/>
                    </a:prstGeom>
                    <a:noFill/>
                    <a:ln>
                      <a:noFill/>
                    </a:ln>
                  </pic:spPr>
                </pic:pic>
              </a:graphicData>
            </a:graphic>
          </wp:inline>
        </w:drawing>
      </w:r>
    </w:p>
    <w:p>
      <w:pPr>
        <w:ind w:left="44" w:leftChars="21"/>
        <w:textAlignment w:val="baseline"/>
        <w:rPr>
          <w:rFonts w:ascii="Times New Roman" w:hAnsi="Times New Roman" w:eastAsia="宋体" w:cs="Times New Roman"/>
          <w:sz w:val="20"/>
          <w:szCs w:val="20"/>
        </w:rPr>
      </w:pPr>
      <w:r>
        <w:rPr>
          <w:rFonts w:ascii="Times New Roman" w:hAnsi="Times New Roman" w:cs="Times New Roman"/>
          <w:b/>
          <w:sz w:val="20"/>
          <w:szCs w:val="20"/>
        </w:rPr>
        <w:t xml:space="preserve">Supplementary </w:t>
      </w:r>
      <w:r>
        <w:rPr>
          <w:rFonts w:ascii="Times New Roman" w:hAnsi="Times New Roman" w:eastAsia="等线" w:cs="Times New Roman"/>
          <w:b/>
          <w:bCs/>
          <w:color w:val="000000" w:themeColor="text1"/>
          <w:kern w:val="24"/>
          <w:sz w:val="20"/>
          <w:szCs w:val="20"/>
          <w14:textFill>
            <w14:solidFill>
              <w14:schemeClr w14:val="tx1"/>
            </w14:solidFill>
          </w14:textFill>
        </w:rPr>
        <w:t xml:space="preserve">Figure 7. </w:t>
      </w:r>
      <w:r>
        <w:rPr>
          <w:rFonts w:ascii="Times New Roman" w:hAnsi="Times New Roman" w:eastAsia="黑体" w:cs="Times New Roman"/>
          <w:b/>
          <w:bCs/>
          <w:color w:val="000000" w:themeColor="text1"/>
          <w:kern w:val="24"/>
          <w:sz w:val="20"/>
          <w:szCs w:val="20"/>
          <w14:textFill>
            <w14:solidFill>
              <w14:schemeClr w14:val="tx1"/>
            </w14:solidFill>
          </w14:textFill>
        </w:rPr>
        <w:t xml:space="preserve">Caries diagnosis model based on the one species of </w:t>
      </w:r>
      <w:r>
        <w:rPr>
          <w:rFonts w:ascii="Times New Roman" w:hAnsi="Times New Roman" w:eastAsia="黑体" w:cs="Times New Roman"/>
          <w:b/>
          <w:bCs/>
          <w:i/>
          <w:iCs/>
          <w:color w:val="000000" w:themeColor="text1"/>
          <w:kern w:val="24"/>
          <w:sz w:val="20"/>
          <w:szCs w:val="20"/>
          <w14:textFill>
            <w14:solidFill>
              <w14:schemeClr w14:val="tx1"/>
            </w14:solidFill>
          </w14:textFill>
        </w:rPr>
        <w:t xml:space="preserve">Streptococcus mutans </w:t>
      </w:r>
      <w:r>
        <w:rPr>
          <w:rFonts w:ascii="Times New Roman" w:hAnsi="Times New Roman" w:eastAsia="黑体" w:cs="Times New Roman"/>
          <w:b/>
          <w:bCs/>
          <w:color w:val="000000" w:themeColor="text1"/>
          <w:kern w:val="24"/>
          <w:sz w:val="20"/>
          <w:szCs w:val="20"/>
          <w14:textFill>
            <w14:solidFill>
              <w14:schemeClr w14:val="tx1"/>
            </w14:solidFill>
          </w14:textFill>
        </w:rPr>
        <w:t>after ruling out eight geography-specific signatures</w:t>
      </w:r>
      <w:r>
        <w:rPr>
          <w:rFonts w:ascii="Times New Roman" w:hAnsi="Times New Roman" w:eastAsia="等线" w:cs="Times New Roman"/>
          <w:b/>
          <w:bCs/>
          <w:color w:val="000000" w:themeColor="text1"/>
          <w:kern w:val="24"/>
          <w:sz w:val="20"/>
          <w:szCs w:val="20"/>
          <w14:textFill>
            <w14:solidFill>
              <w14:schemeClr w14:val="tx1"/>
            </w14:solidFill>
          </w14:textFill>
        </w:rPr>
        <w:t xml:space="preserve">. </w:t>
      </w:r>
      <w:r>
        <w:rPr>
          <w:rFonts w:ascii="Times New Roman" w:hAnsi="Times New Roman" w:eastAsia="宋体" w:cs="Times New Roman"/>
          <w:color w:val="000000" w:themeColor="text1"/>
          <w:kern w:val="24"/>
          <w:sz w:val="20"/>
          <w:szCs w:val="20"/>
          <w14:textFill>
            <w14:solidFill>
              <w14:schemeClr w14:val="tx1"/>
            </w14:solidFill>
          </w14:textFill>
        </w:rPr>
        <w:t xml:space="preserve">Performance of status prediction using only </w:t>
      </w:r>
      <w:r>
        <w:rPr>
          <w:rFonts w:ascii="Times New Roman" w:hAnsi="Times New Roman" w:eastAsia="宋体" w:cs="Times New Roman"/>
          <w:i/>
          <w:iCs/>
          <w:color w:val="000000" w:themeColor="text1"/>
          <w:kern w:val="24"/>
          <w:sz w:val="20"/>
          <w:szCs w:val="20"/>
          <w14:textFill>
            <w14:solidFill>
              <w14:schemeClr w14:val="tx1"/>
            </w14:solidFill>
          </w14:textFill>
        </w:rPr>
        <w:t>Streptococcus mutans</w:t>
      </w:r>
      <w:r>
        <w:rPr>
          <w:rFonts w:ascii="Times New Roman" w:hAnsi="Times New Roman" w:eastAsia="宋体" w:cs="Times New Roman"/>
          <w:color w:val="000000" w:themeColor="text1"/>
          <w:kern w:val="24"/>
          <w:sz w:val="20"/>
          <w:szCs w:val="20"/>
          <w14:textFill>
            <w14:solidFill>
              <w14:schemeClr w14:val="tx1"/>
            </w14:solidFill>
          </w14:textFill>
        </w:rPr>
        <w:t xml:space="preserve"> as a predictor, the simplified Random Forest model led to lower, yet still decent and meaning performance model (AUC=81.62%). </w:t>
      </w:r>
    </w:p>
    <w:p>
      <w:pPr>
        <w:ind w:left="44" w:leftChars="21" w:firstLine="425"/>
        <w:jc w:val="center"/>
        <w:rPr>
          <w:rFonts w:ascii="Times New Roman" w:hAnsi="Times New Roman" w:cs="Times New Roman"/>
        </w:rPr>
      </w:pPr>
      <w:r>
        <w:rPr>
          <w:rFonts w:ascii="Times New Roman" w:hAnsi="Times New Roman" w:cs="Times New Roman"/>
        </w:rPr>
        <w:drawing>
          <wp:inline distT="0" distB="0" distL="0" distR="0">
            <wp:extent cx="5274310" cy="3955415"/>
            <wp:effectExtent l="0" t="0" r="1397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3955733"/>
                    </a:xfrm>
                    <a:prstGeom prst="rect">
                      <a:avLst/>
                    </a:prstGeom>
                    <a:noFill/>
                    <a:ln>
                      <a:noFill/>
                    </a:ln>
                  </pic:spPr>
                </pic:pic>
              </a:graphicData>
            </a:graphic>
          </wp:inline>
        </w:drawing>
      </w:r>
    </w:p>
    <w:p>
      <w:pPr>
        <w:ind w:left="44" w:leftChars="21"/>
        <w:textAlignment w:val="baseline"/>
        <w:rPr>
          <w:rFonts w:ascii="Times New Roman" w:hAnsi="Times New Roman" w:eastAsia="宋体" w:cs="Times New Roman"/>
          <w:sz w:val="20"/>
          <w:szCs w:val="20"/>
        </w:rPr>
      </w:pPr>
      <w:r>
        <w:rPr>
          <w:rFonts w:ascii="Times New Roman" w:hAnsi="Times New Roman" w:cs="Times New Roman"/>
          <w:b/>
          <w:sz w:val="20"/>
          <w:szCs w:val="20"/>
        </w:rPr>
        <w:t xml:space="preserve">Supplementary </w:t>
      </w:r>
      <w:r>
        <w:rPr>
          <w:rFonts w:ascii="Times New Roman" w:hAnsi="Times New Roman" w:eastAsia="等线" w:cs="Times New Roman"/>
          <w:b/>
          <w:bCs/>
          <w:color w:val="000000" w:themeColor="text1"/>
          <w:kern w:val="24"/>
          <w:sz w:val="20"/>
          <w:szCs w:val="20"/>
          <w14:textFill>
            <w14:solidFill>
              <w14:schemeClr w14:val="tx1"/>
            </w14:solidFill>
          </w14:textFill>
        </w:rPr>
        <w:t>Figure 8. The frequency of fourteen species occurrence in healthy sample and caries samples</w:t>
      </w:r>
    </w:p>
    <w:p>
      <w:pPr>
        <w:rPr>
          <w:rFonts w:ascii="Times New Roman" w:hAnsi="Times New Roman" w:cs="Times New Roman"/>
        </w:rPr>
      </w:pPr>
    </w:p>
    <w:sectPr>
      <w:headerReference r:id="rId5" w:type="first"/>
      <w:headerReference r:id="rId3" w:type="default"/>
      <w:footerReference r:id="rId6" w:type="default"/>
      <w:headerReference r:id="rId4" w:type="even"/>
      <w:footerReference r:id="rId7" w:type="even"/>
      <w:pgSz w:w="12240" w:h="15840"/>
      <w:pgMar w:top="1138" w:right="1181" w:bottom="1138" w:left="1282" w:header="283" w:footer="510" w:gutter="0"/>
      <w:lnNumType w:countBy="1" w:restart="continuous"/>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b/>
        <w:sz w:val="20"/>
        <w:szCs w:val="24"/>
      </w:rPr>
    </w:pPr>
    <w:r>
      <w:rPr>
        <w:lang w:eastAsia="en-GB"/>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pPr>
                            <w:pStyle w:val="2"/>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 w:val="22"/>
                              <w:szCs w:val="40"/>
                              <w14:textFill>
                                <w14:solidFill>
                                  <w14:schemeClr w14:val="tx1"/>
                                </w14:solidFill>
                              </w14:textFill>
                            </w:rPr>
                            <w:t>3</w:t>
                          </w:r>
                          <w:r>
                            <w:rPr>
                              <w:color w:val="000000" w:themeColor="text1"/>
                              <w:szCs w:val="40"/>
                              <w14:textFill>
                                <w14:solidFill>
                                  <w14:schemeClr w14:val="tx1"/>
                                </w14:solidFill>
                              </w14:textFill>
                            </w:rPr>
                            <w:fldChar w:fldCharType="end"/>
                          </w:r>
                        </w:p>
                      </w:txbxContent>
                    </wps:txbx>
                    <wps:bodyPr rot="0" spcFirstLastPara="0" vertOverflow="overflow" horzOverflow="overflow" vert="horz" wrap="square" numCol="1" spcCol="0" rtlCol="0" fromWordArt="0" anchor="t" anchorCtr="0" forceAA="0" compatLnSpc="1">
                      <a:spAutoFit/>
                    </wps:bodyPr>
                  </wps:wsp>
                </a:graphicData>
              </a:graphic>
            </wp:anchor>
          </w:drawing>
        </mc:Choice>
        <mc:Fallback>
          <w:pict>
            <v:shape id="Text Box 56" o:spid="_x0000_s1026" o:spt="202" type="#_x0000_t202" style="position:absolute;left:0pt;margin-left:434.15pt;margin-top:735.1pt;height:31.15pt;width:118.8pt;mso-position-horizontal-relative:page;mso-position-vertical-relative:page;z-index:251659264;mso-width-relative:page;mso-height-relative:page;" filled="f" stroked="f" coordsize="21600,21600" o:gfxdata="UEsDBAoAAAAAAIdO4kAAAAAAAAAAAAAAAAAEAAAAZHJzL1BLAwQUAAAACACHTuJATFdEItIAAAAE&#10;AQAADwAAAGRycy9kb3ducmV2LnhtbE2PwU7DMBBE70j8g7VIXBC1k0opCnF6qJRz1ZQPcOMlCdjr&#10;KHaa8vcsXOCy0mhGM2+r/c07ccU5joE0ZBsFAqkLdqRew9u5eX4BEZMha1wg1PCFEfb1/V1lShtW&#10;OuG1Tb3gEoql0TCkNJVSxm5Ab+ImTEjsvYfZm8Ry7qWdzcrl3slcqUJ6MxIvDGbCw4DdZ7t4DSFf&#10;n9ypzZrDcf1o1HHBcxtR68eHTL2CSHhLf2H4wWd0qJnpEhayUTgN/Ej6vezl210B4qKhyLcg60r+&#10;h6+/AVBLAwQUAAAACACHTuJA4A4QABoCAABBBAAADgAAAGRycy9lMm9Eb2MueG1srVPBbtswDL0P&#10;2D8Iui92WiRrgzhF1iC7BGuBdNhZkeXYgCVqkhI7+/o9yUk6dDv0sItNkdQT3yM5f+h1y47K+YZM&#10;wcejnDNlJJWN2Rf8+8v60x1nPghTipaMKvhJef6w+Phh3tmZuqGa2lI5BhDjZ50teB2CnWWZl7XS&#10;wo/IKoNgRU6LgKPbZ6UTHdB1m93k+TTryJXWkVTew7sagvyM6N4DSFXVSLUiedDKhAHVqVYEUPJ1&#10;Yz1fpGqrSsnwVFVeBdYWHExD+uIR2Lv4zRZzMds7YetGnksQ7ynhDSctGoNHr1ArEQQ7uOYvKN1I&#10;R56qMJKks4FIUgQsxvkbbba1sCpxgdTeXkX3/w9Wfjs+O9aUBZ9MOTNCo+Mvqg/sC/UMLujTWT9D&#10;2tYiMfTwY2oufg9npN1XTsc/CDHEoe7pqm5Ek/HSJL/7PEVIInZ7P5nmkwiTvd62zoevijSLRsEd&#10;updEFceND0PqJSU+ZmjdtG3qYGtYV/Dp7SRPF64RgLcm5qo0C2eYyGioPFqh3/VnmjsqT2DpaJgT&#10;b+W6QSkb4cOzcBgMVI/VCU/4VC3hSTpbnNXkfv3LH/PRL0Q56zBoBfc/D8IpqH3Qj4S5HGPhrEwm&#10;8F1oL2blSP/AtiwjAkLCSOAUPFzMxzCMMrZNquUyJWGurAgbs7UyQkfy3i4PAWIlDSPlgSe0jwdM&#10;VurCeQvi6P55Tlmvm7/4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xXRCLSAAAABAEAAA8AAAAA&#10;AAAAAQAgAAAAIgAAAGRycy9kb3ducmV2LnhtbFBLAQIUABQAAAAIAIdO4kDgDhAAGgIAAEEEAAAO&#10;AAAAAAAAAAEAIAAAACEBAABkcnMvZTJvRG9jLnhtbFBLBQYAAAAABgAGAFkBAACtBQAAAAA=&#10;">
              <v:fill on="f" focussize="0,0"/>
              <v:stroke on="f" weight="0.5pt"/>
              <v:imagedata o:title=""/>
              <o:lock v:ext="edit" aspectratio="f"/>
              <v:textbox style="mso-fit-shape-to-text:t;">
                <w:txbxContent>
                  <w:p>
                    <w:pPr>
                      <w:pStyle w:val="2"/>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 w:val="22"/>
                        <w:szCs w:val="40"/>
                        <w14:textFill>
                          <w14:solidFill>
                            <w14:schemeClr w14:val="tx1"/>
                          </w14:solidFill>
                        </w14:textFill>
                      </w:rPr>
                      <w:t>3</w:t>
                    </w:r>
                    <w:r>
                      <w:rPr>
                        <w:color w:val="000000" w:themeColor="text1"/>
                        <w:szCs w:val="40"/>
                        <w14:textFill>
                          <w14:solidFill>
                            <w14:schemeClr w14:val="tx1"/>
                          </w14:solidFill>
                        </w14:textFill>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color w:val="C00000"/>
        <w:szCs w:val="24"/>
      </w:rPr>
    </w:pPr>
    <w:r>
      <w:rPr>
        <w:lang w:eastAsia="en-GB"/>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pPr>
                            <w:pStyle w:val="2"/>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 w:val="22"/>
                              <w:szCs w:val="40"/>
                              <w14:textFill>
                                <w14:solidFill>
                                  <w14:schemeClr w14:val="tx1"/>
                                </w14:solidFill>
                              </w14:textFill>
                            </w:rPr>
                            <w:t>4</w:t>
                          </w:r>
                          <w:r>
                            <w:rPr>
                              <w:color w:val="000000" w:themeColor="text1"/>
                              <w:szCs w:val="40"/>
                              <w14:textFill>
                                <w14:solidFill>
                                  <w14:schemeClr w14:val="tx1"/>
                                </w14:solidFill>
                              </w14:textFill>
                            </w:rPr>
                            <w:fldChar w:fldCharType="end"/>
                          </w:r>
                        </w:p>
                      </w:txbxContent>
                    </wps:txbx>
                    <wps:bodyPr rot="0" spcFirstLastPara="0" vertOverflow="overflow" horzOverflow="overflow" vert="horz" wrap="square" numCol="1" spcCol="0" rtlCol="0" fromWordArt="0" anchor="t" anchorCtr="0" forceAA="0" compatLnSpc="1">
                      <a:spAutoFit/>
                    </wps:bodyPr>
                  </wps:wsp>
                </a:graphicData>
              </a:graphic>
            </wp:anchor>
          </w:drawing>
        </mc:Choice>
        <mc:Fallback>
          <w:pict>
            <v:shape id="Text Box 1" o:spid="_x0000_s1026" o:spt="202" type="#_x0000_t202" style="position:absolute;left:0pt;margin-left:0pt;margin-top:0pt;height:31.15pt;width:118.8pt;mso-position-horizontal-relative:page;mso-position-vertical-relative:page;z-index:251660288;mso-width-relative:page;mso-height-relative:page;" filled="f" stroked="f" coordsize="21600,21600" o:gfxdata="UEsDBAoAAAAAAIdO4kAAAAAAAAAAAAAAAAAEAAAAZHJzL1BLAwQUAAAACACHTuJATFdEItIAAAAE&#10;AQAADwAAAGRycy9kb3ducmV2LnhtbE2PwU7DMBBE70j8g7VIXBC1k0opCnF6qJRz1ZQPcOMlCdjr&#10;KHaa8vcsXOCy0mhGM2+r/c07ccU5joE0ZBsFAqkLdqRew9u5eX4BEZMha1wg1PCFEfb1/V1lShtW&#10;OuG1Tb3gEoql0TCkNJVSxm5Ab+ImTEjsvYfZm8Ry7qWdzcrl3slcqUJ6MxIvDGbCw4DdZ7t4DSFf&#10;n9ypzZrDcf1o1HHBcxtR68eHTL2CSHhLf2H4wWd0qJnpEhayUTgN/Ej6vezl210B4qKhyLcg60r+&#10;h6+/AVBLAwQUAAAACACHTuJAgJLQYBgCAAA/BAAADgAAAGRycy9lMm9Eb2MueG1srVNNb9swDL0P&#10;2H8QdF/stEjWGnGKrEF2CdYC6bCzIsuxAX1NUmJnv35PspMO3Q497GJTJPXI90QuHnolyUk43xpd&#10;0ukkp0RobqpWH0r6/WXz6Y4SH5iumDRalPQsPH1Yfvyw6GwhbkxjZCUcAYj2RWdL2oRgiyzzvBGK&#10;+YmxQiNYG6dYwNEdssqxDuhKZjd5Ps864yrrDBfew7segnREdO8BNHXdcrE2/KiEDgOqE5IFUPJN&#10;az1dpm7rWvDwVNdeBCJLCqYhfVEE9j5+s+WCFQfHbNPysQX2nhbecFKs1Sh6hVqzwMjRtX9BqZY7&#10;400dJtyobCCSFAGLaf5Gm13DrEhcILW3V9H9/4Pl307PjrQVJoESzRQe/EX0gXwxPZlGdTrrCyTt&#10;LNJCD3fMHP0ezki6r52Kf9AhiEPb81XbCMbjpVl+93mOEEfs9n42z2cRJnu9bZ0PX4VRJBoldXi7&#10;JCk7bX0YUi8psZg2m1ZK+FkhNelKOr+d5enCNQJwqWOCSJMwwkRGQ+fRCv2+H+nsTXUGS2eGKfGW&#10;b1q0smU+PDOHsUD3WJzwhE8tDUqa0aKkMe7Xv/wxH6+FKCUdxqyk/ueROQGxj+rRYCqhOyolE/gu&#10;yItZO6N+YFdWEQEhpjlwShou5mMYBhm7xsVqlZIwVZaFrd5ZHqEjeW9XxwCxkoaR8sAT2scD5iq9&#10;wrgDcXD/PKes171f/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MV0Qi0gAAAAQBAAAPAAAAAAAA&#10;AAEAIAAAACIAAABkcnMvZG93bnJldi54bWxQSwECFAAUAAAACACHTuJAgJLQYBgCAAA/BAAADgAA&#10;AAAAAAABACAAAAAhAQAAZHJzL2Uyb0RvYy54bWxQSwUGAAAAAAYABgBZAQAAqwUAAAAA&#10;">
              <v:fill on="f" focussize="0,0"/>
              <v:stroke on="f" weight="0.5pt"/>
              <v:imagedata o:title=""/>
              <o:lock v:ext="edit" aspectratio="f"/>
              <v:textbox style="mso-fit-shape-to-text:t;">
                <w:txbxContent>
                  <w:p>
                    <w:pPr>
                      <w:pStyle w:val="2"/>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 w:val="22"/>
                        <w:szCs w:val="40"/>
                        <w14:textFill>
                          <w14:solidFill>
                            <w14:schemeClr w14:val="tx1"/>
                          </w14:solidFill>
                        </w14:textFill>
                      </w:rPr>
                      <w:t>4</w:t>
                    </w:r>
                    <w:r>
                      <w:rPr>
                        <w:color w:val="000000" w:themeColor="text1"/>
                        <w:szCs w:val="40"/>
                        <w14:textFill>
                          <w14:solidFill>
                            <w14:schemeClr w14:val="tx1"/>
                          </w14:solidFill>
                        </w14:textFill>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tab w:relativeTo="margin" w:alignment="center" w:leader="none"/>
    </w:r>
    <w:r>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tab w:relativeTo="margin" w:alignment="center" w:leader="none"/>
    </w:r>
    <w: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C27"/>
    <w:rsid w:val="004317A8"/>
    <w:rsid w:val="0060607E"/>
    <w:rsid w:val="00694831"/>
    <w:rsid w:val="007A2BAC"/>
    <w:rsid w:val="00B70F70"/>
    <w:rsid w:val="00E40C27"/>
    <w:rsid w:val="4B6A39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9"/>
    <w:unhideWhenUsed/>
    <w:uiPriority w:val="99"/>
    <w:pPr>
      <w:tabs>
        <w:tab w:val="center" w:pos="4153"/>
        <w:tab w:val="right" w:pos="8306"/>
      </w:tabs>
      <w:snapToGrid w:val="0"/>
      <w:jc w:val="left"/>
    </w:pPr>
    <w:rPr>
      <w:sz w:val="18"/>
      <w:szCs w:val="18"/>
    </w:rPr>
  </w:style>
  <w:style w:type="paragraph" w:styleId="3">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unhideWhenUsed/>
    <w:qFormat/>
    <w:uiPriority w:val="99"/>
    <w:pPr>
      <w:widowControl/>
      <w:spacing w:before="100" w:beforeAutospacing="1" w:after="100" w:afterAutospacing="1"/>
      <w:jc w:val="left"/>
    </w:pPr>
    <w:rPr>
      <w:rFonts w:ascii="Times New Roman" w:hAnsi="Times New Roman" w:eastAsia="Times New Roman" w:cs="Times New Roman"/>
      <w:kern w:val="0"/>
      <w:sz w:val="24"/>
      <w:szCs w:val="24"/>
      <w:lang w:eastAsia="en-US"/>
    </w:rPr>
  </w:style>
  <w:style w:type="character" w:styleId="7">
    <w:name w:val="line number"/>
    <w:basedOn w:val="6"/>
    <w:semiHidden/>
    <w:unhideWhenUsed/>
    <w:uiPriority w:val="99"/>
  </w:style>
  <w:style w:type="character" w:customStyle="1" w:styleId="8">
    <w:name w:val="页眉 字符"/>
    <w:basedOn w:val="6"/>
    <w:link w:val="3"/>
    <w:qFormat/>
    <w:uiPriority w:val="99"/>
    <w:rPr>
      <w:sz w:val="18"/>
      <w:szCs w:val="18"/>
    </w:rPr>
  </w:style>
  <w:style w:type="character" w:customStyle="1" w:styleId="9">
    <w:name w:val="页脚 字符"/>
    <w:basedOn w:val="6"/>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8.tiff"/><Relationship Id="rId15" Type="http://schemas.openxmlformats.org/officeDocument/2006/relationships/image" Target="media/image7.tiff"/><Relationship Id="rId14" Type="http://schemas.openxmlformats.org/officeDocument/2006/relationships/image" Target="media/image6.tiff"/><Relationship Id="rId13" Type="http://schemas.openxmlformats.org/officeDocument/2006/relationships/image" Target="media/image5.tiff"/><Relationship Id="rId12" Type="http://schemas.openxmlformats.org/officeDocument/2006/relationships/image" Target="media/image4.tiff"/><Relationship Id="rId11" Type="http://schemas.openxmlformats.org/officeDocument/2006/relationships/image" Target="media/image3.tiff"/><Relationship Id="rId10" Type="http://schemas.openxmlformats.org/officeDocument/2006/relationships/image" Target="media/image2.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455</Words>
  <Characters>2598</Characters>
  <Lines>21</Lines>
  <Paragraphs>6</Paragraphs>
  <TotalTime>1</TotalTime>
  <ScaleCrop>false</ScaleCrop>
  <LinksUpToDate>false</LinksUpToDate>
  <CharactersWithSpaces>3047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2021-03-02T12:32:00Z</dcterms:created>
  <dc:creator>samsung-pc</dc:creator>
  <cp:lastModifiedBy>姗</cp:lastModifiedBy>
  <dcterms:modified xsi:type="dcterms:W3CDTF">2021-03-12T13:55:07Z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