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6329B" w14:textId="77777777" w:rsidR="003E361C" w:rsidRDefault="00AE7C0C">
      <w:pPr>
        <w:spacing w:line="480" w:lineRule="auto"/>
        <w:rPr>
          <w:rFonts w:ascii="Times New Roman" w:hAnsi="Times New Roman" w:cs="Times New Roman"/>
          <w:b/>
          <w:sz w:val="24"/>
          <w:szCs w:val="24"/>
        </w:rPr>
      </w:pPr>
      <w:r>
        <w:rPr>
          <w:rFonts w:ascii="Times New Roman" w:hAnsi="Times New Roman" w:cs="Times New Roman"/>
          <w:b/>
          <w:sz w:val="24"/>
          <w:szCs w:val="24"/>
        </w:rPr>
        <w:t>Supplementary materials</w:t>
      </w:r>
    </w:p>
    <w:p w14:paraId="40D014DD" w14:textId="77777777" w:rsidR="003E361C" w:rsidRDefault="00AE7C0C">
      <w:pPr>
        <w:spacing w:line="480" w:lineRule="auto"/>
        <w:rPr>
          <w:rFonts w:ascii="Times New Roman" w:hAnsi="Times New Roman" w:cs="Times New Roman"/>
          <w:b/>
          <w:sz w:val="24"/>
          <w:szCs w:val="24"/>
        </w:rPr>
      </w:pPr>
      <w:r>
        <w:rPr>
          <w:rFonts w:ascii="Times New Roman" w:hAnsi="Times New Roman" w:cs="Times New Roman"/>
          <w:b/>
          <w:sz w:val="24"/>
          <w:szCs w:val="24"/>
        </w:rPr>
        <w:t>Method</w:t>
      </w:r>
    </w:p>
    <w:p w14:paraId="32DD829F" w14:textId="3C7BAAF5" w:rsidR="003E361C" w:rsidRDefault="00AE7C0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Statistical analysis was based on the general linear model (GLM). </w:t>
      </w:r>
      <w:r>
        <w:rPr>
          <w:rFonts w:ascii="Times New Roman" w:hAnsi="Times New Roman" w:cs="Times New Roman"/>
          <w:sz w:val="24"/>
          <w:szCs w:val="24"/>
        </w:rPr>
        <w:t xml:space="preserve">Two </w:t>
      </w:r>
      <w:bookmarkStart w:id="0" w:name="_GoBack"/>
      <w:bookmarkEnd w:id="0"/>
      <w:r>
        <w:rPr>
          <w:rFonts w:ascii="Times New Roman" w:hAnsi="Times New Roman" w:cs="Times New Roman"/>
          <w:sz w:val="24"/>
          <w:szCs w:val="24"/>
        </w:rPr>
        <w:t xml:space="preserve">regressors </w:t>
      </w:r>
      <w:r>
        <w:rPr>
          <w:rFonts w:ascii="Times New Roman" w:hAnsi="Times New Roman" w:cs="Times New Roman"/>
          <w:sz w:val="24"/>
          <w:szCs w:val="24"/>
        </w:rPr>
        <w:t xml:space="preserve">of interest </w:t>
      </w:r>
      <w:r>
        <w:rPr>
          <w:rFonts w:ascii="Times New Roman" w:hAnsi="Times New Roman" w:cs="Times New Roman"/>
          <w:sz w:val="24"/>
          <w:szCs w:val="24"/>
        </w:rPr>
        <w:t xml:space="preserve">for each session were defined for individual first-level analysis for each participant, respectively, </w:t>
      </w:r>
      <w:r>
        <w:rPr>
          <w:rFonts w:ascii="Times New Roman" w:hAnsi="Times New Roman" w:cs="Times New Roman"/>
          <w:sz w:val="24"/>
          <w:szCs w:val="24"/>
        </w:rPr>
        <w:t xml:space="preserve">i.e., </w:t>
      </w:r>
      <w:r>
        <w:rPr>
          <w:rFonts w:ascii="Times New Roman" w:hAnsi="Times New Roman" w:cs="Times New Roman"/>
          <w:sz w:val="24"/>
          <w:szCs w:val="24"/>
        </w:rPr>
        <w:t xml:space="preserve">correct </w:t>
      </w:r>
      <w:r>
        <w:rPr>
          <w:rFonts w:ascii="Times New Roman" w:hAnsi="Times New Roman" w:cs="Times New Roman"/>
          <w:sz w:val="24"/>
          <w:szCs w:val="24"/>
        </w:rPr>
        <w:t>writing sequences</w:t>
      </w:r>
      <w:r>
        <w:rPr>
          <w:rFonts w:ascii="Times New Roman" w:hAnsi="Times New Roman" w:cs="Times New Roman"/>
          <w:sz w:val="24"/>
          <w:szCs w:val="24"/>
        </w:rPr>
        <w:t xml:space="preserve"> minus </w:t>
      </w:r>
      <w:r>
        <w:rPr>
          <w:rFonts w:ascii="Times New Roman" w:hAnsi="Times New Roman" w:cs="Times New Roman"/>
          <w:sz w:val="24"/>
          <w:szCs w:val="24"/>
        </w:rPr>
        <w:t>incorrect</w:t>
      </w:r>
      <w:r>
        <w:rPr>
          <w:rFonts w:ascii="Times New Roman" w:hAnsi="Times New Roman" w:cs="Times New Roman"/>
          <w:sz w:val="24"/>
          <w:szCs w:val="24"/>
        </w:rPr>
        <w:t xml:space="preserve"> </w:t>
      </w:r>
      <w:r>
        <w:rPr>
          <w:rFonts w:ascii="Times New Roman" w:hAnsi="Times New Roman" w:cs="Times New Roman"/>
          <w:sz w:val="24"/>
          <w:szCs w:val="24"/>
        </w:rPr>
        <w:t xml:space="preserve">ones and </w:t>
      </w:r>
      <w:r>
        <w:rPr>
          <w:rFonts w:ascii="Times New Roman" w:hAnsi="Times New Roman" w:cs="Times New Roman"/>
          <w:sz w:val="24"/>
          <w:szCs w:val="24"/>
        </w:rPr>
        <w:t>vice versa</w:t>
      </w:r>
      <w:r>
        <w:rPr>
          <w:rFonts w:ascii="Times New Roman" w:hAnsi="Times New Roman" w:cs="Times New Roman"/>
          <w:sz w:val="24"/>
          <w:szCs w:val="24"/>
        </w:rPr>
        <w:t xml:space="preserve"> </w:t>
      </w:r>
      <w:r>
        <w:rPr>
          <w:rFonts w:ascii="Times New Roman" w:hAnsi="Times New Roman" w:cs="Times New Roman"/>
          <w:sz w:val="24"/>
          <w:szCs w:val="24"/>
        </w:rPr>
        <w:t xml:space="preserve">(SPM 12; https://www.fil.ion.ucl.ac.uk/spm/). </w:t>
      </w:r>
      <w:r>
        <w:rPr>
          <w:rFonts w:ascii="Times New Roman" w:hAnsi="Times New Roman" w:cs="Times New Roman"/>
          <w:sz w:val="24"/>
          <w:szCs w:val="24"/>
        </w:rPr>
        <w:t xml:space="preserve"> </w:t>
      </w:r>
    </w:p>
    <w:p w14:paraId="76E8C967" w14:textId="6DCC63F1" w:rsidR="003E361C" w:rsidRDefault="00AE7C0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For the second-level analysis, beta maps for the two interested </w:t>
      </w:r>
      <w:r>
        <w:rPr>
          <w:rFonts w:ascii="Times New Roman" w:hAnsi="Times New Roman" w:cs="Times New Roman"/>
          <w:sz w:val="24"/>
          <w:szCs w:val="24"/>
        </w:rPr>
        <w:t>contrasts</w:t>
      </w:r>
      <w:r>
        <w:rPr>
          <w:rFonts w:ascii="Times New Roman" w:hAnsi="Times New Roman" w:cs="Times New Roman"/>
          <w:sz w:val="24"/>
          <w:szCs w:val="24"/>
        </w:rPr>
        <w:t xml:space="preserve"> for</w:t>
      </w:r>
      <w:r>
        <w:rPr>
          <w:rFonts w:ascii="Times New Roman" w:hAnsi="Times New Roman" w:cs="Times New Roman"/>
          <w:sz w:val="24"/>
          <w:szCs w:val="24"/>
        </w:rPr>
        <w:t xml:space="preserve"> </w:t>
      </w:r>
      <w:r>
        <w:rPr>
          <w:rFonts w:ascii="Times New Roman" w:hAnsi="Times New Roman" w:cs="Times New Roman"/>
          <w:sz w:val="24"/>
          <w:szCs w:val="24"/>
        </w:rPr>
        <w:t>each participa</w:t>
      </w:r>
      <w:r>
        <w:rPr>
          <w:rFonts w:ascii="Times New Roman" w:hAnsi="Times New Roman" w:cs="Times New Roman"/>
          <w:sz w:val="24"/>
          <w:szCs w:val="24"/>
        </w:rPr>
        <w:t xml:space="preserve">nt were fed to the one-sample </w:t>
      </w:r>
      <w:r>
        <w:rPr>
          <w:rFonts w:ascii="Times New Roman" w:hAnsi="Times New Roman" w:cs="Times New Roman"/>
          <w:i/>
          <w:sz w:val="24"/>
          <w:szCs w:val="24"/>
        </w:rPr>
        <w:t xml:space="preserve">t </w:t>
      </w:r>
      <w:r>
        <w:rPr>
          <w:rFonts w:ascii="Times New Roman" w:hAnsi="Times New Roman" w:cs="Times New Roman"/>
          <w:sz w:val="24"/>
          <w:szCs w:val="24"/>
        </w:rPr>
        <w:t xml:space="preserve">tests, and only positive </w:t>
      </w:r>
      <w:r>
        <w:rPr>
          <w:rFonts w:ascii="Times New Roman" w:hAnsi="Times New Roman" w:cs="Times New Roman"/>
          <w:i/>
          <w:sz w:val="24"/>
          <w:szCs w:val="24"/>
        </w:rPr>
        <w:t>t</w:t>
      </w:r>
      <w:r>
        <w:rPr>
          <w:rFonts w:ascii="Times New Roman" w:hAnsi="Times New Roman" w:cs="Times New Roman"/>
          <w:sz w:val="24"/>
          <w:szCs w:val="24"/>
        </w:rPr>
        <w:t xml:space="preserve"> </w:t>
      </w:r>
      <w:r>
        <w:rPr>
          <w:rFonts w:ascii="Times New Roman" w:hAnsi="Times New Roman" w:cs="Times New Roman"/>
          <w:sz w:val="24"/>
          <w:szCs w:val="24"/>
        </w:rPr>
        <w:t>values</w:t>
      </w:r>
      <w:r>
        <w:rPr>
          <w:rFonts w:ascii="Times New Roman" w:hAnsi="Times New Roman" w:cs="Times New Roman"/>
          <w:sz w:val="24"/>
          <w:szCs w:val="24"/>
        </w:rPr>
        <w:t xml:space="preserve"> were focused for each test to pinpoint brain regions significantly activated differently between two writing sequence conditions. The results, at last, passed a family-wise error (FWE</w:t>
      </w:r>
      <w:r>
        <w:rPr>
          <w:rFonts w:ascii="Times New Roman" w:hAnsi="Times New Roman" w:cs="Times New Roman"/>
          <w:sz w:val="24"/>
          <w:szCs w:val="24"/>
        </w:rPr>
        <w:t xml:space="preserve">) correction of </w:t>
      </w:r>
      <w:r>
        <w:rPr>
          <w:rFonts w:ascii="Times New Roman" w:hAnsi="Times New Roman" w:cs="Times New Roman"/>
          <w:i/>
          <w:sz w:val="24"/>
          <w:szCs w:val="24"/>
        </w:rPr>
        <w:t>p</w:t>
      </w:r>
      <w:r>
        <w:rPr>
          <w:rFonts w:ascii="Times New Roman" w:hAnsi="Times New Roman" w:cs="Times New Roman"/>
          <w:sz w:val="24"/>
          <w:szCs w:val="24"/>
        </w:rPr>
        <w:t xml:space="preserve"> &lt; 0.05 on cluster level. </w:t>
      </w:r>
    </w:p>
    <w:p w14:paraId="5B8364BC" w14:textId="77777777" w:rsidR="003E361C" w:rsidRDefault="003E361C">
      <w:pPr>
        <w:spacing w:line="480" w:lineRule="auto"/>
        <w:ind w:firstLineChars="200" w:firstLine="480"/>
        <w:rPr>
          <w:rFonts w:ascii="Times New Roman" w:hAnsi="Times New Roman" w:cs="Times New Roman"/>
          <w:sz w:val="24"/>
          <w:szCs w:val="24"/>
        </w:rPr>
      </w:pPr>
    </w:p>
    <w:p w14:paraId="5ABC64ED" w14:textId="77777777" w:rsidR="003E361C" w:rsidRDefault="00AE7C0C">
      <w:pPr>
        <w:spacing w:line="480" w:lineRule="auto"/>
        <w:rPr>
          <w:rFonts w:ascii="Times New Roman" w:hAnsi="Times New Roman" w:cs="Times New Roman"/>
          <w:b/>
          <w:sz w:val="24"/>
          <w:szCs w:val="24"/>
        </w:rPr>
      </w:pPr>
      <w:r>
        <w:rPr>
          <w:rFonts w:ascii="Times New Roman" w:hAnsi="Times New Roman" w:cs="Times New Roman"/>
          <w:b/>
          <w:sz w:val="24"/>
          <w:szCs w:val="24"/>
        </w:rPr>
        <w:t>Results</w:t>
      </w:r>
    </w:p>
    <w:p w14:paraId="0878AFC4" w14:textId="77777777" w:rsidR="003E361C" w:rsidRDefault="00AE7C0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As shown in Figure S1, no brain areas were </w:t>
      </w:r>
      <w:r>
        <w:rPr>
          <w:rFonts w:ascii="Times New Roman" w:hAnsi="Times New Roman" w:cs="Times New Roman" w:hint="eastAsia"/>
          <w:sz w:val="24"/>
          <w:szCs w:val="24"/>
        </w:rPr>
        <w:t xml:space="preserve">more strongly </w:t>
      </w:r>
      <w:r>
        <w:rPr>
          <w:rFonts w:ascii="Times New Roman" w:hAnsi="Times New Roman" w:cs="Times New Roman"/>
          <w:sz w:val="24"/>
          <w:szCs w:val="24"/>
        </w:rPr>
        <w:t xml:space="preserve">activated by correct writing sequences than incorrect </w:t>
      </w:r>
      <w:r>
        <w:rPr>
          <w:rFonts w:ascii="Times New Roman" w:hAnsi="Times New Roman" w:cs="Times New Roman" w:hint="eastAsia"/>
          <w:sz w:val="24"/>
          <w:szCs w:val="24"/>
        </w:rPr>
        <w:t>ones</w:t>
      </w:r>
      <w:r>
        <w:rPr>
          <w:rFonts w:ascii="Times New Roman" w:hAnsi="Times New Roman" w:cs="Times New Roman"/>
          <w:sz w:val="24"/>
          <w:szCs w:val="24"/>
        </w:rPr>
        <w:t xml:space="preserve">. </w:t>
      </w:r>
      <w:r>
        <w:rPr>
          <w:rFonts w:ascii="Times New Roman" w:hAnsi="Times New Roman" w:cs="Times New Roman" w:hint="eastAsia"/>
          <w:sz w:val="24"/>
          <w:szCs w:val="24"/>
        </w:rPr>
        <w:t>In contrast, the l</w:t>
      </w:r>
      <w:r>
        <w:rPr>
          <w:rFonts w:ascii="Times New Roman" w:hAnsi="Times New Roman" w:cs="Times New Roman"/>
          <w:sz w:val="24"/>
          <w:szCs w:val="24"/>
        </w:rPr>
        <w:t xml:space="preserve">eft inferior frontal gyrus (pars triangularis), left middle frontal cortex (precentral gyrus), left inferior parietal lobule, and right superior occipital gyrus were activated greater in the condition of incorrect writing sequences (Table S1). </w:t>
      </w:r>
    </w:p>
    <w:p w14:paraId="18FBB99D" w14:textId="77777777" w:rsidR="003E361C" w:rsidRDefault="003E361C">
      <w:pPr>
        <w:spacing w:line="480" w:lineRule="auto"/>
        <w:rPr>
          <w:rFonts w:ascii="Times New Roman" w:eastAsia="宋体" w:hAnsi="Times New Roman" w:cs="Times New Roman"/>
          <w:b/>
          <w:bCs/>
          <w:sz w:val="24"/>
          <w:szCs w:val="24"/>
        </w:rPr>
      </w:pPr>
    </w:p>
    <w:p w14:paraId="0C0C737C" w14:textId="77777777" w:rsidR="003E361C" w:rsidRDefault="00AE7C0C">
      <w:pPr>
        <w:spacing w:line="480" w:lineRule="auto"/>
        <w:rPr>
          <w:rFonts w:ascii="Times New Roman" w:eastAsia="宋体" w:hAnsi="Times New Roman" w:cs="Times New Roman"/>
          <w:sz w:val="24"/>
          <w:szCs w:val="24"/>
        </w:rPr>
      </w:pPr>
      <w:r>
        <w:rPr>
          <w:rFonts w:ascii="Times New Roman" w:eastAsia="宋体" w:hAnsi="Times New Roman" w:cs="Times New Roman"/>
          <w:b/>
          <w:bCs/>
          <w:sz w:val="24"/>
          <w:szCs w:val="24"/>
        </w:rPr>
        <w:t>Table S1.</w:t>
      </w:r>
      <w:r>
        <w:rPr>
          <w:rFonts w:ascii="Times New Roman" w:eastAsia="宋体" w:hAnsi="Times New Roman" w:cs="Times New Roman"/>
          <w:sz w:val="24"/>
          <w:szCs w:val="24"/>
        </w:rPr>
        <w:t xml:space="preserve"> </w:t>
      </w:r>
      <w:r>
        <w:rPr>
          <w:rFonts w:ascii="Times New Roman" w:eastAsia="宋体" w:hAnsi="Times New Roman" w:cs="Times New Roman"/>
          <w:i/>
          <w:iCs/>
          <w:sz w:val="24"/>
          <w:szCs w:val="24"/>
        </w:rPr>
        <w:t xml:space="preserve">Brain regions </w:t>
      </w:r>
      <w:r>
        <w:rPr>
          <w:rFonts w:ascii="Times New Roman" w:eastAsia="宋体" w:hAnsi="Times New Roman" w:cs="Times New Roman" w:hint="eastAsia"/>
          <w:i/>
          <w:iCs/>
          <w:sz w:val="24"/>
          <w:szCs w:val="24"/>
        </w:rPr>
        <w:t>revealed by</w:t>
      </w:r>
      <w:r>
        <w:rPr>
          <w:rFonts w:ascii="Times New Roman" w:eastAsia="宋体" w:hAnsi="Times New Roman" w:cs="Times New Roman"/>
          <w:i/>
          <w:iCs/>
          <w:sz w:val="24"/>
          <w:szCs w:val="24"/>
        </w:rPr>
        <w:t xml:space="preserve"> the contrast of incorrect writing sequences </w:t>
      </w:r>
      <w:r>
        <w:rPr>
          <w:rFonts w:ascii="Times New Roman" w:eastAsia="宋体" w:hAnsi="Times New Roman" w:cs="Times New Roman" w:hint="eastAsia"/>
          <w:i/>
          <w:iCs/>
          <w:sz w:val="24"/>
          <w:szCs w:val="24"/>
        </w:rPr>
        <w:t>minus correct ones</w:t>
      </w:r>
      <w:r>
        <w:rPr>
          <w:rFonts w:ascii="Times New Roman" w:eastAsia="宋体" w:hAnsi="Times New Roman" w:cs="Times New Roman"/>
          <w:i/>
          <w:iCs/>
          <w:sz w:val="24"/>
          <w:szCs w:val="24"/>
        </w:rPr>
        <w:t xml:space="preserve"> from traditional General Linear Model Analysis (k &gt; 40, FWE corrected, p &lt; 0.05</w:t>
      </w:r>
      <w:r>
        <w:rPr>
          <w:rFonts w:ascii="Times New Roman" w:eastAsia="宋体" w:hAnsi="Times New Roman" w:cs="Times New Roman"/>
          <w:i/>
          <w:iCs/>
          <w:sz w:val="24"/>
          <w:szCs w:val="24"/>
        </w:rPr>
        <w:t>)</w:t>
      </w:r>
    </w:p>
    <w:tbl>
      <w:tblPr>
        <w:tblpPr w:leftFromText="180" w:rightFromText="180" w:vertAnchor="text" w:horzAnchor="margin" w:tblpY="196"/>
        <w:tblW w:w="9072" w:type="dxa"/>
        <w:tblLook w:val="04A0" w:firstRow="1" w:lastRow="0" w:firstColumn="1" w:lastColumn="0" w:noHBand="0" w:noVBand="1"/>
      </w:tblPr>
      <w:tblGrid>
        <w:gridCol w:w="3260"/>
        <w:gridCol w:w="851"/>
        <w:gridCol w:w="850"/>
        <w:gridCol w:w="992"/>
        <w:gridCol w:w="993"/>
        <w:gridCol w:w="1276"/>
        <w:gridCol w:w="850"/>
      </w:tblGrid>
      <w:tr w:rsidR="003E361C" w14:paraId="741D8D13" w14:textId="77777777">
        <w:trPr>
          <w:trHeight w:val="300"/>
        </w:trPr>
        <w:tc>
          <w:tcPr>
            <w:tcW w:w="3260" w:type="dxa"/>
            <w:vMerge w:val="restart"/>
            <w:tcBorders>
              <w:top w:val="single" w:sz="4" w:space="0" w:color="auto"/>
              <w:left w:val="nil"/>
              <w:right w:val="nil"/>
            </w:tcBorders>
            <w:shd w:val="clear" w:color="auto" w:fill="auto"/>
            <w:noWrap/>
            <w:vAlign w:val="center"/>
          </w:tcPr>
          <w:p w14:paraId="103CBDF0" w14:textId="77777777" w:rsidR="003E361C" w:rsidRDefault="00AE7C0C">
            <w:pPr>
              <w:spacing w:line="480" w:lineRule="auto"/>
              <w:jc w:val="center"/>
              <w:rPr>
                <w:rFonts w:ascii="Times New Roman" w:eastAsia="等线" w:hAnsi="Times New Roman" w:cs="Times New Roman"/>
                <w:b/>
                <w:bCs/>
                <w:kern w:val="0"/>
                <w:sz w:val="24"/>
                <w:szCs w:val="24"/>
              </w:rPr>
            </w:pPr>
            <w:r>
              <w:rPr>
                <w:rFonts w:ascii="Times New Roman" w:eastAsia="等线" w:hAnsi="Times New Roman" w:cs="Times New Roman"/>
                <w:b/>
                <w:bCs/>
                <w:kern w:val="0"/>
                <w:sz w:val="24"/>
                <w:szCs w:val="24"/>
              </w:rPr>
              <w:lastRenderedPageBreak/>
              <w:t>Brain Region</w:t>
            </w:r>
          </w:p>
        </w:tc>
        <w:tc>
          <w:tcPr>
            <w:tcW w:w="2693" w:type="dxa"/>
            <w:gridSpan w:val="3"/>
            <w:tcBorders>
              <w:top w:val="single" w:sz="4" w:space="0" w:color="auto"/>
              <w:left w:val="nil"/>
              <w:bottom w:val="nil"/>
              <w:right w:val="nil"/>
            </w:tcBorders>
            <w:shd w:val="clear" w:color="auto" w:fill="auto"/>
            <w:noWrap/>
            <w:vAlign w:val="center"/>
          </w:tcPr>
          <w:p w14:paraId="054F5BE9" w14:textId="77777777" w:rsidR="003E361C" w:rsidRDefault="00AE7C0C">
            <w:pPr>
              <w:spacing w:line="480" w:lineRule="auto"/>
              <w:jc w:val="center"/>
              <w:rPr>
                <w:rFonts w:ascii="Times New Roman" w:eastAsia="等线" w:hAnsi="Times New Roman" w:cs="Times New Roman"/>
                <w:b/>
                <w:bCs/>
                <w:kern w:val="0"/>
                <w:sz w:val="24"/>
                <w:szCs w:val="24"/>
              </w:rPr>
            </w:pPr>
            <w:r>
              <w:rPr>
                <w:rFonts w:ascii="Times New Roman" w:eastAsia="等线" w:hAnsi="Times New Roman" w:cs="Times New Roman"/>
                <w:b/>
                <w:bCs/>
                <w:kern w:val="0"/>
                <w:sz w:val="24"/>
                <w:szCs w:val="24"/>
              </w:rPr>
              <w:t>MNI coordinates</w:t>
            </w:r>
          </w:p>
        </w:tc>
        <w:tc>
          <w:tcPr>
            <w:tcW w:w="993" w:type="dxa"/>
            <w:vMerge w:val="restart"/>
            <w:tcBorders>
              <w:top w:val="single" w:sz="4" w:space="0" w:color="auto"/>
              <w:left w:val="nil"/>
              <w:right w:val="nil"/>
            </w:tcBorders>
            <w:shd w:val="clear" w:color="auto" w:fill="auto"/>
            <w:noWrap/>
            <w:vAlign w:val="center"/>
          </w:tcPr>
          <w:p w14:paraId="5085A434" w14:textId="77777777" w:rsidR="003E361C" w:rsidRDefault="00AE7C0C">
            <w:pPr>
              <w:spacing w:line="480" w:lineRule="auto"/>
              <w:jc w:val="center"/>
              <w:rPr>
                <w:rFonts w:ascii="Times New Roman" w:eastAsia="等线" w:hAnsi="Times New Roman" w:cs="Times New Roman"/>
                <w:b/>
                <w:bCs/>
                <w:kern w:val="0"/>
                <w:sz w:val="24"/>
                <w:szCs w:val="24"/>
              </w:rPr>
            </w:pPr>
            <w:r>
              <w:rPr>
                <w:rFonts w:ascii="Times New Roman" w:eastAsia="等线" w:hAnsi="Times New Roman" w:cs="Times New Roman"/>
                <w:b/>
                <w:bCs/>
                <w:kern w:val="0"/>
                <w:sz w:val="24"/>
                <w:szCs w:val="24"/>
              </w:rPr>
              <w:t>BA</w:t>
            </w:r>
          </w:p>
        </w:tc>
        <w:tc>
          <w:tcPr>
            <w:tcW w:w="1276" w:type="dxa"/>
            <w:vMerge w:val="restart"/>
            <w:tcBorders>
              <w:top w:val="single" w:sz="4" w:space="0" w:color="auto"/>
              <w:left w:val="nil"/>
              <w:right w:val="nil"/>
            </w:tcBorders>
            <w:shd w:val="clear" w:color="auto" w:fill="auto"/>
            <w:noWrap/>
            <w:vAlign w:val="center"/>
          </w:tcPr>
          <w:p w14:paraId="31F93F53" w14:textId="77777777" w:rsidR="003E361C" w:rsidRDefault="00AE7C0C">
            <w:pPr>
              <w:spacing w:line="480" w:lineRule="auto"/>
              <w:jc w:val="center"/>
              <w:rPr>
                <w:rFonts w:ascii="Times New Roman" w:eastAsia="等线" w:hAnsi="Times New Roman" w:cs="Times New Roman"/>
                <w:b/>
                <w:bCs/>
                <w:kern w:val="0"/>
                <w:sz w:val="24"/>
                <w:szCs w:val="24"/>
              </w:rPr>
            </w:pPr>
            <w:r>
              <w:rPr>
                <w:rFonts w:ascii="Times New Roman" w:eastAsia="等线" w:hAnsi="Times New Roman" w:cs="Times New Roman"/>
                <w:b/>
                <w:bCs/>
                <w:kern w:val="0"/>
                <w:sz w:val="24"/>
                <w:szCs w:val="24"/>
              </w:rPr>
              <w:t>cluster size</w:t>
            </w:r>
          </w:p>
        </w:tc>
        <w:tc>
          <w:tcPr>
            <w:tcW w:w="850" w:type="dxa"/>
            <w:vMerge w:val="restart"/>
            <w:tcBorders>
              <w:top w:val="single" w:sz="4" w:space="0" w:color="auto"/>
              <w:left w:val="nil"/>
              <w:right w:val="nil"/>
            </w:tcBorders>
            <w:shd w:val="clear" w:color="auto" w:fill="auto"/>
            <w:noWrap/>
            <w:vAlign w:val="center"/>
          </w:tcPr>
          <w:p w14:paraId="41FF243A" w14:textId="77777777" w:rsidR="003E361C" w:rsidRDefault="00AE7C0C">
            <w:pPr>
              <w:spacing w:line="480" w:lineRule="auto"/>
              <w:jc w:val="center"/>
              <w:rPr>
                <w:rFonts w:ascii="Times New Roman" w:eastAsia="等线" w:hAnsi="Times New Roman" w:cs="Times New Roman"/>
                <w:b/>
                <w:bCs/>
                <w:i/>
                <w:kern w:val="0"/>
                <w:sz w:val="24"/>
                <w:szCs w:val="24"/>
              </w:rPr>
            </w:pPr>
            <w:r>
              <w:rPr>
                <w:rFonts w:ascii="Times New Roman" w:eastAsia="等线" w:hAnsi="Times New Roman" w:cs="Times New Roman"/>
                <w:b/>
                <w:bCs/>
                <w:i/>
                <w:kern w:val="0"/>
                <w:sz w:val="24"/>
                <w:szCs w:val="24"/>
              </w:rPr>
              <w:t>t</w:t>
            </w:r>
          </w:p>
        </w:tc>
      </w:tr>
      <w:tr w:rsidR="003E361C" w14:paraId="4FA837AF" w14:textId="77777777">
        <w:trPr>
          <w:trHeight w:val="300"/>
        </w:trPr>
        <w:tc>
          <w:tcPr>
            <w:tcW w:w="3260" w:type="dxa"/>
            <w:vMerge/>
            <w:tcBorders>
              <w:left w:val="nil"/>
              <w:bottom w:val="single" w:sz="4" w:space="0" w:color="auto"/>
              <w:right w:val="nil"/>
            </w:tcBorders>
            <w:shd w:val="clear" w:color="auto" w:fill="auto"/>
            <w:noWrap/>
            <w:vAlign w:val="center"/>
          </w:tcPr>
          <w:p w14:paraId="2CBA0119" w14:textId="77777777" w:rsidR="003E361C" w:rsidRDefault="003E361C">
            <w:pPr>
              <w:spacing w:line="480" w:lineRule="auto"/>
              <w:jc w:val="center"/>
              <w:rPr>
                <w:rFonts w:ascii="Times New Roman" w:eastAsia="等线" w:hAnsi="Times New Roman" w:cs="Times New Roman"/>
                <w:b/>
                <w:bCs/>
                <w:kern w:val="0"/>
                <w:sz w:val="24"/>
                <w:szCs w:val="24"/>
              </w:rPr>
            </w:pPr>
          </w:p>
        </w:tc>
        <w:tc>
          <w:tcPr>
            <w:tcW w:w="851" w:type="dxa"/>
            <w:tcBorders>
              <w:top w:val="nil"/>
              <w:left w:val="nil"/>
              <w:bottom w:val="single" w:sz="4" w:space="0" w:color="auto"/>
              <w:right w:val="nil"/>
            </w:tcBorders>
            <w:shd w:val="clear" w:color="auto" w:fill="auto"/>
            <w:noWrap/>
            <w:vAlign w:val="center"/>
          </w:tcPr>
          <w:p w14:paraId="76C8E4D6" w14:textId="77777777" w:rsidR="003E361C" w:rsidRDefault="00AE7C0C">
            <w:pPr>
              <w:spacing w:line="480" w:lineRule="auto"/>
              <w:jc w:val="center"/>
              <w:rPr>
                <w:rFonts w:ascii="Times New Roman" w:eastAsia="等线" w:hAnsi="Times New Roman" w:cs="Times New Roman"/>
                <w:b/>
                <w:bCs/>
                <w:kern w:val="0"/>
                <w:sz w:val="24"/>
                <w:szCs w:val="24"/>
              </w:rPr>
            </w:pPr>
            <w:r>
              <w:rPr>
                <w:rFonts w:ascii="Times New Roman" w:eastAsia="等线" w:hAnsi="Times New Roman" w:cs="Times New Roman"/>
                <w:b/>
                <w:bCs/>
                <w:kern w:val="0"/>
                <w:sz w:val="24"/>
                <w:szCs w:val="24"/>
              </w:rPr>
              <w:t>x</w:t>
            </w:r>
          </w:p>
        </w:tc>
        <w:tc>
          <w:tcPr>
            <w:tcW w:w="850" w:type="dxa"/>
            <w:tcBorders>
              <w:top w:val="nil"/>
              <w:left w:val="nil"/>
              <w:bottom w:val="single" w:sz="4" w:space="0" w:color="auto"/>
              <w:right w:val="nil"/>
            </w:tcBorders>
            <w:shd w:val="clear" w:color="auto" w:fill="auto"/>
            <w:noWrap/>
            <w:vAlign w:val="center"/>
          </w:tcPr>
          <w:p w14:paraId="13FFCDE5" w14:textId="77777777" w:rsidR="003E361C" w:rsidRDefault="00AE7C0C">
            <w:pPr>
              <w:spacing w:line="480" w:lineRule="auto"/>
              <w:jc w:val="center"/>
              <w:rPr>
                <w:rFonts w:ascii="Times New Roman" w:eastAsia="等线" w:hAnsi="Times New Roman" w:cs="Times New Roman"/>
                <w:b/>
                <w:bCs/>
                <w:kern w:val="0"/>
                <w:sz w:val="24"/>
                <w:szCs w:val="24"/>
              </w:rPr>
            </w:pPr>
            <w:r>
              <w:rPr>
                <w:rFonts w:ascii="Times New Roman" w:eastAsia="等线" w:hAnsi="Times New Roman" w:cs="Times New Roman"/>
                <w:b/>
                <w:bCs/>
                <w:kern w:val="0"/>
                <w:sz w:val="24"/>
                <w:szCs w:val="24"/>
              </w:rPr>
              <w:t>y</w:t>
            </w:r>
          </w:p>
        </w:tc>
        <w:tc>
          <w:tcPr>
            <w:tcW w:w="992" w:type="dxa"/>
            <w:tcBorders>
              <w:top w:val="nil"/>
              <w:left w:val="nil"/>
              <w:bottom w:val="single" w:sz="4" w:space="0" w:color="auto"/>
              <w:right w:val="nil"/>
            </w:tcBorders>
            <w:shd w:val="clear" w:color="auto" w:fill="auto"/>
            <w:noWrap/>
            <w:vAlign w:val="center"/>
          </w:tcPr>
          <w:p w14:paraId="578A9040" w14:textId="77777777" w:rsidR="003E361C" w:rsidRDefault="00AE7C0C">
            <w:pPr>
              <w:spacing w:line="480" w:lineRule="auto"/>
              <w:jc w:val="center"/>
              <w:rPr>
                <w:rFonts w:ascii="Times New Roman" w:eastAsia="等线" w:hAnsi="Times New Roman" w:cs="Times New Roman"/>
                <w:b/>
                <w:bCs/>
                <w:kern w:val="0"/>
                <w:sz w:val="24"/>
                <w:szCs w:val="24"/>
              </w:rPr>
            </w:pPr>
            <w:r>
              <w:rPr>
                <w:rFonts w:ascii="Times New Roman" w:eastAsia="等线" w:hAnsi="Times New Roman" w:cs="Times New Roman"/>
                <w:b/>
                <w:bCs/>
                <w:kern w:val="0"/>
                <w:sz w:val="24"/>
                <w:szCs w:val="24"/>
              </w:rPr>
              <w:t>z</w:t>
            </w:r>
          </w:p>
        </w:tc>
        <w:tc>
          <w:tcPr>
            <w:tcW w:w="993" w:type="dxa"/>
            <w:vMerge/>
            <w:tcBorders>
              <w:left w:val="nil"/>
              <w:bottom w:val="single" w:sz="4" w:space="0" w:color="auto"/>
              <w:right w:val="nil"/>
            </w:tcBorders>
            <w:shd w:val="clear" w:color="auto" w:fill="auto"/>
            <w:noWrap/>
            <w:vAlign w:val="center"/>
          </w:tcPr>
          <w:p w14:paraId="79CCBAB8" w14:textId="77777777" w:rsidR="003E361C" w:rsidRDefault="003E361C">
            <w:pPr>
              <w:spacing w:line="480" w:lineRule="auto"/>
              <w:jc w:val="center"/>
              <w:rPr>
                <w:rFonts w:ascii="Times New Roman" w:eastAsia="等线" w:hAnsi="Times New Roman" w:cs="Times New Roman"/>
                <w:b/>
                <w:bCs/>
                <w:kern w:val="0"/>
                <w:sz w:val="24"/>
                <w:szCs w:val="24"/>
              </w:rPr>
            </w:pPr>
          </w:p>
        </w:tc>
        <w:tc>
          <w:tcPr>
            <w:tcW w:w="1276" w:type="dxa"/>
            <w:vMerge/>
            <w:tcBorders>
              <w:left w:val="nil"/>
              <w:bottom w:val="single" w:sz="4" w:space="0" w:color="auto"/>
              <w:right w:val="nil"/>
            </w:tcBorders>
            <w:shd w:val="clear" w:color="auto" w:fill="auto"/>
            <w:noWrap/>
            <w:vAlign w:val="center"/>
          </w:tcPr>
          <w:p w14:paraId="3E240C05" w14:textId="77777777" w:rsidR="003E361C" w:rsidRDefault="003E361C">
            <w:pPr>
              <w:spacing w:line="480" w:lineRule="auto"/>
              <w:jc w:val="center"/>
              <w:rPr>
                <w:rFonts w:ascii="Times New Roman" w:eastAsia="等线" w:hAnsi="Times New Roman" w:cs="Times New Roman"/>
                <w:b/>
                <w:bCs/>
                <w:kern w:val="0"/>
                <w:sz w:val="24"/>
                <w:szCs w:val="24"/>
              </w:rPr>
            </w:pPr>
          </w:p>
        </w:tc>
        <w:tc>
          <w:tcPr>
            <w:tcW w:w="850" w:type="dxa"/>
            <w:vMerge/>
            <w:tcBorders>
              <w:left w:val="nil"/>
              <w:bottom w:val="single" w:sz="4" w:space="0" w:color="auto"/>
              <w:right w:val="nil"/>
            </w:tcBorders>
            <w:shd w:val="clear" w:color="auto" w:fill="auto"/>
            <w:noWrap/>
            <w:vAlign w:val="center"/>
          </w:tcPr>
          <w:p w14:paraId="07EDFA4E" w14:textId="77777777" w:rsidR="003E361C" w:rsidRDefault="003E361C">
            <w:pPr>
              <w:spacing w:line="480" w:lineRule="auto"/>
              <w:jc w:val="center"/>
              <w:rPr>
                <w:rFonts w:ascii="Times New Roman" w:eastAsia="等线" w:hAnsi="Times New Roman" w:cs="Times New Roman"/>
                <w:b/>
                <w:bCs/>
                <w:kern w:val="0"/>
                <w:sz w:val="24"/>
                <w:szCs w:val="24"/>
              </w:rPr>
            </w:pPr>
          </w:p>
        </w:tc>
      </w:tr>
      <w:tr w:rsidR="003E361C" w14:paraId="3A9E8D2F" w14:textId="77777777">
        <w:trPr>
          <w:trHeight w:val="300"/>
        </w:trPr>
        <w:tc>
          <w:tcPr>
            <w:tcW w:w="3260" w:type="dxa"/>
            <w:tcBorders>
              <w:top w:val="nil"/>
              <w:left w:val="nil"/>
              <w:bottom w:val="nil"/>
              <w:right w:val="nil"/>
            </w:tcBorders>
            <w:shd w:val="clear" w:color="auto" w:fill="auto"/>
            <w:noWrap/>
            <w:vAlign w:val="center"/>
          </w:tcPr>
          <w:p w14:paraId="036D1B01"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 xml:space="preserve">Left Inferior Frontal </w:t>
            </w:r>
            <w:r>
              <w:rPr>
                <w:rFonts w:ascii="Times New Roman" w:eastAsia="等线" w:hAnsi="Times New Roman" w:cs="Times New Roman"/>
                <w:kern w:val="0"/>
                <w:sz w:val="24"/>
                <w:szCs w:val="24"/>
              </w:rPr>
              <w:t>Gyrus (Pars Triangularis)</w:t>
            </w:r>
          </w:p>
        </w:tc>
        <w:tc>
          <w:tcPr>
            <w:tcW w:w="851" w:type="dxa"/>
            <w:tcBorders>
              <w:top w:val="nil"/>
              <w:left w:val="nil"/>
              <w:bottom w:val="nil"/>
              <w:right w:val="nil"/>
            </w:tcBorders>
            <w:shd w:val="clear" w:color="auto" w:fill="auto"/>
            <w:noWrap/>
          </w:tcPr>
          <w:p w14:paraId="0BB1B475"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-33</w:t>
            </w:r>
          </w:p>
        </w:tc>
        <w:tc>
          <w:tcPr>
            <w:tcW w:w="850" w:type="dxa"/>
            <w:tcBorders>
              <w:top w:val="nil"/>
              <w:left w:val="nil"/>
              <w:bottom w:val="nil"/>
              <w:right w:val="nil"/>
            </w:tcBorders>
            <w:shd w:val="clear" w:color="auto" w:fill="auto"/>
            <w:noWrap/>
          </w:tcPr>
          <w:p w14:paraId="3B649DBB"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36</w:t>
            </w:r>
          </w:p>
        </w:tc>
        <w:tc>
          <w:tcPr>
            <w:tcW w:w="992" w:type="dxa"/>
            <w:tcBorders>
              <w:top w:val="nil"/>
              <w:left w:val="nil"/>
              <w:bottom w:val="nil"/>
              <w:right w:val="nil"/>
            </w:tcBorders>
            <w:shd w:val="clear" w:color="auto" w:fill="auto"/>
            <w:noWrap/>
          </w:tcPr>
          <w:p w14:paraId="1E03F5BD"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6</w:t>
            </w:r>
          </w:p>
        </w:tc>
        <w:tc>
          <w:tcPr>
            <w:tcW w:w="993" w:type="dxa"/>
            <w:tcBorders>
              <w:top w:val="nil"/>
              <w:left w:val="nil"/>
              <w:bottom w:val="nil"/>
              <w:right w:val="nil"/>
            </w:tcBorders>
            <w:shd w:val="clear" w:color="auto" w:fill="auto"/>
            <w:noWrap/>
          </w:tcPr>
          <w:p w14:paraId="18F70F3B"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9</w:t>
            </w:r>
          </w:p>
        </w:tc>
        <w:tc>
          <w:tcPr>
            <w:tcW w:w="1276" w:type="dxa"/>
            <w:tcBorders>
              <w:top w:val="nil"/>
              <w:left w:val="nil"/>
              <w:bottom w:val="nil"/>
              <w:right w:val="nil"/>
            </w:tcBorders>
            <w:shd w:val="clear" w:color="auto" w:fill="auto"/>
            <w:noWrap/>
          </w:tcPr>
          <w:p w14:paraId="59100D6B"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279</w:t>
            </w:r>
          </w:p>
        </w:tc>
        <w:tc>
          <w:tcPr>
            <w:tcW w:w="850" w:type="dxa"/>
            <w:tcBorders>
              <w:top w:val="nil"/>
              <w:left w:val="nil"/>
              <w:bottom w:val="nil"/>
              <w:right w:val="nil"/>
            </w:tcBorders>
            <w:shd w:val="clear" w:color="auto" w:fill="auto"/>
            <w:noWrap/>
          </w:tcPr>
          <w:p w14:paraId="57DFAA8B"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6.46</w:t>
            </w:r>
          </w:p>
        </w:tc>
      </w:tr>
      <w:tr w:rsidR="003E361C" w14:paraId="15296240" w14:textId="77777777">
        <w:trPr>
          <w:trHeight w:val="300"/>
        </w:trPr>
        <w:tc>
          <w:tcPr>
            <w:tcW w:w="3260" w:type="dxa"/>
            <w:tcBorders>
              <w:top w:val="nil"/>
              <w:left w:val="nil"/>
              <w:bottom w:val="nil"/>
              <w:right w:val="nil"/>
            </w:tcBorders>
            <w:shd w:val="clear" w:color="auto" w:fill="auto"/>
            <w:noWrap/>
            <w:vAlign w:val="center"/>
          </w:tcPr>
          <w:p w14:paraId="6F9B131F"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Left Middle Frontal Cortex (Precentral Gyrus)</w:t>
            </w:r>
          </w:p>
        </w:tc>
        <w:tc>
          <w:tcPr>
            <w:tcW w:w="851" w:type="dxa"/>
            <w:tcBorders>
              <w:top w:val="nil"/>
              <w:left w:val="nil"/>
              <w:bottom w:val="nil"/>
              <w:right w:val="nil"/>
            </w:tcBorders>
            <w:shd w:val="clear" w:color="auto" w:fill="auto"/>
            <w:noWrap/>
          </w:tcPr>
          <w:p w14:paraId="2B397E4E"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-27</w:t>
            </w:r>
          </w:p>
        </w:tc>
        <w:tc>
          <w:tcPr>
            <w:tcW w:w="850" w:type="dxa"/>
            <w:tcBorders>
              <w:top w:val="nil"/>
              <w:left w:val="nil"/>
              <w:bottom w:val="nil"/>
              <w:right w:val="nil"/>
            </w:tcBorders>
            <w:shd w:val="clear" w:color="auto" w:fill="auto"/>
            <w:noWrap/>
          </w:tcPr>
          <w:p w14:paraId="57AF3B7E"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18</w:t>
            </w:r>
          </w:p>
        </w:tc>
        <w:tc>
          <w:tcPr>
            <w:tcW w:w="992" w:type="dxa"/>
            <w:tcBorders>
              <w:top w:val="nil"/>
              <w:left w:val="nil"/>
              <w:bottom w:val="nil"/>
              <w:right w:val="nil"/>
            </w:tcBorders>
            <w:shd w:val="clear" w:color="auto" w:fill="auto"/>
            <w:noWrap/>
          </w:tcPr>
          <w:p w14:paraId="788A43B6"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48</w:t>
            </w:r>
          </w:p>
        </w:tc>
        <w:tc>
          <w:tcPr>
            <w:tcW w:w="993" w:type="dxa"/>
            <w:tcBorders>
              <w:top w:val="nil"/>
              <w:left w:val="nil"/>
              <w:bottom w:val="nil"/>
              <w:right w:val="nil"/>
            </w:tcBorders>
            <w:shd w:val="clear" w:color="auto" w:fill="auto"/>
            <w:noWrap/>
          </w:tcPr>
          <w:p w14:paraId="6B548F61"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8/6</w:t>
            </w:r>
          </w:p>
        </w:tc>
        <w:tc>
          <w:tcPr>
            <w:tcW w:w="1276" w:type="dxa"/>
            <w:tcBorders>
              <w:top w:val="nil"/>
              <w:left w:val="nil"/>
              <w:bottom w:val="nil"/>
              <w:right w:val="nil"/>
            </w:tcBorders>
            <w:shd w:val="clear" w:color="auto" w:fill="auto"/>
            <w:noWrap/>
          </w:tcPr>
          <w:p w14:paraId="260D7C98"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63</w:t>
            </w:r>
          </w:p>
        </w:tc>
        <w:tc>
          <w:tcPr>
            <w:tcW w:w="850" w:type="dxa"/>
            <w:tcBorders>
              <w:top w:val="nil"/>
              <w:left w:val="nil"/>
              <w:bottom w:val="nil"/>
              <w:right w:val="nil"/>
            </w:tcBorders>
            <w:shd w:val="clear" w:color="auto" w:fill="auto"/>
            <w:noWrap/>
          </w:tcPr>
          <w:p w14:paraId="6E718C89"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6.22</w:t>
            </w:r>
          </w:p>
        </w:tc>
      </w:tr>
      <w:tr w:rsidR="003E361C" w14:paraId="72719C7B" w14:textId="77777777">
        <w:trPr>
          <w:trHeight w:val="300"/>
        </w:trPr>
        <w:tc>
          <w:tcPr>
            <w:tcW w:w="3260" w:type="dxa"/>
            <w:tcBorders>
              <w:top w:val="nil"/>
              <w:left w:val="nil"/>
              <w:bottom w:val="nil"/>
              <w:right w:val="nil"/>
            </w:tcBorders>
            <w:shd w:val="clear" w:color="auto" w:fill="auto"/>
            <w:noWrap/>
            <w:vAlign w:val="center"/>
          </w:tcPr>
          <w:p w14:paraId="6FAAFC1A"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Left Inferior Parietal Lobule</w:t>
            </w:r>
          </w:p>
        </w:tc>
        <w:tc>
          <w:tcPr>
            <w:tcW w:w="851" w:type="dxa"/>
            <w:tcBorders>
              <w:top w:val="nil"/>
              <w:left w:val="nil"/>
              <w:bottom w:val="nil"/>
              <w:right w:val="nil"/>
            </w:tcBorders>
            <w:shd w:val="clear" w:color="auto" w:fill="auto"/>
            <w:noWrap/>
          </w:tcPr>
          <w:p w14:paraId="0D965CE5"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-27</w:t>
            </w:r>
          </w:p>
        </w:tc>
        <w:tc>
          <w:tcPr>
            <w:tcW w:w="850" w:type="dxa"/>
            <w:tcBorders>
              <w:top w:val="nil"/>
              <w:left w:val="nil"/>
              <w:bottom w:val="nil"/>
              <w:right w:val="nil"/>
            </w:tcBorders>
            <w:shd w:val="clear" w:color="auto" w:fill="auto"/>
            <w:noWrap/>
          </w:tcPr>
          <w:p w14:paraId="5C7682F3"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-66</w:t>
            </w:r>
          </w:p>
        </w:tc>
        <w:tc>
          <w:tcPr>
            <w:tcW w:w="992" w:type="dxa"/>
            <w:tcBorders>
              <w:top w:val="nil"/>
              <w:left w:val="nil"/>
              <w:bottom w:val="nil"/>
              <w:right w:val="nil"/>
            </w:tcBorders>
            <w:shd w:val="clear" w:color="auto" w:fill="auto"/>
            <w:noWrap/>
          </w:tcPr>
          <w:p w14:paraId="498A823D"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30</w:t>
            </w:r>
          </w:p>
        </w:tc>
        <w:tc>
          <w:tcPr>
            <w:tcW w:w="993" w:type="dxa"/>
            <w:tcBorders>
              <w:top w:val="nil"/>
              <w:left w:val="nil"/>
              <w:bottom w:val="nil"/>
              <w:right w:val="nil"/>
            </w:tcBorders>
            <w:shd w:val="clear" w:color="auto" w:fill="auto"/>
            <w:noWrap/>
          </w:tcPr>
          <w:p w14:paraId="61B32F75"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7</w:t>
            </w:r>
          </w:p>
        </w:tc>
        <w:tc>
          <w:tcPr>
            <w:tcW w:w="1276" w:type="dxa"/>
            <w:tcBorders>
              <w:top w:val="nil"/>
              <w:left w:val="nil"/>
              <w:bottom w:val="nil"/>
              <w:right w:val="nil"/>
            </w:tcBorders>
            <w:shd w:val="clear" w:color="auto" w:fill="auto"/>
            <w:noWrap/>
          </w:tcPr>
          <w:p w14:paraId="3230786B"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384</w:t>
            </w:r>
          </w:p>
        </w:tc>
        <w:tc>
          <w:tcPr>
            <w:tcW w:w="850" w:type="dxa"/>
            <w:tcBorders>
              <w:top w:val="nil"/>
              <w:left w:val="nil"/>
              <w:bottom w:val="nil"/>
              <w:right w:val="nil"/>
            </w:tcBorders>
            <w:shd w:val="clear" w:color="auto" w:fill="auto"/>
            <w:noWrap/>
          </w:tcPr>
          <w:p w14:paraId="08885D58"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7.74</w:t>
            </w:r>
          </w:p>
        </w:tc>
      </w:tr>
      <w:tr w:rsidR="003E361C" w14:paraId="4873F556" w14:textId="77777777">
        <w:trPr>
          <w:trHeight w:val="300"/>
        </w:trPr>
        <w:tc>
          <w:tcPr>
            <w:tcW w:w="3260" w:type="dxa"/>
            <w:tcBorders>
              <w:top w:val="nil"/>
              <w:left w:val="nil"/>
              <w:bottom w:val="single" w:sz="4" w:space="0" w:color="auto"/>
              <w:right w:val="nil"/>
            </w:tcBorders>
            <w:shd w:val="clear" w:color="auto" w:fill="auto"/>
            <w:noWrap/>
            <w:vAlign w:val="center"/>
          </w:tcPr>
          <w:p w14:paraId="0B8D1EA3"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Right Superior Occipital Gyrus</w:t>
            </w:r>
          </w:p>
        </w:tc>
        <w:tc>
          <w:tcPr>
            <w:tcW w:w="851" w:type="dxa"/>
            <w:tcBorders>
              <w:top w:val="nil"/>
              <w:left w:val="nil"/>
              <w:bottom w:val="single" w:sz="4" w:space="0" w:color="auto"/>
              <w:right w:val="nil"/>
            </w:tcBorders>
            <w:shd w:val="clear" w:color="auto" w:fill="auto"/>
            <w:noWrap/>
          </w:tcPr>
          <w:p w14:paraId="3FDD01BF"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33</w:t>
            </w:r>
          </w:p>
        </w:tc>
        <w:tc>
          <w:tcPr>
            <w:tcW w:w="850" w:type="dxa"/>
            <w:tcBorders>
              <w:top w:val="nil"/>
              <w:left w:val="nil"/>
              <w:bottom w:val="single" w:sz="4" w:space="0" w:color="auto"/>
              <w:right w:val="nil"/>
            </w:tcBorders>
            <w:shd w:val="clear" w:color="auto" w:fill="auto"/>
            <w:noWrap/>
          </w:tcPr>
          <w:p w14:paraId="1C98CE83"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-63</w:t>
            </w:r>
          </w:p>
        </w:tc>
        <w:tc>
          <w:tcPr>
            <w:tcW w:w="992" w:type="dxa"/>
            <w:tcBorders>
              <w:top w:val="nil"/>
              <w:left w:val="nil"/>
              <w:bottom w:val="single" w:sz="4" w:space="0" w:color="auto"/>
              <w:right w:val="nil"/>
            </w:tcBorders>
            <w:shd w:val="clear" w:color="auto" w:fill="auto"/>
            <w:noWrap/>
          </w:tcPr>
          <w:p w14:paraId="2D372E10"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36</w:t>
            </w:r>
          </w:p>
        </w:tc>
        <w:tc>
          <w:tcPr>
            <w:tcW w:w="993" w:type="dxa"/>
            <w:tcBorders>
              <w:top w:val="nil"/>
              <w:left w:val="nil"/>
              <w:bottom w:val="single" w:sz="4" w:space="0" w:color="auto"/>
              <w:right w:val="nil"/>
            </w:tcBorders>
            <w:shd w:val="clear" w:color="auto" w:fill="auto"/>
            <w:noWrap/>
          </w:tcPr>
          <w:p w14:paraId="38EEF7AD"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39</w:t>
            </w:r>
          </w:p>
        </w:tc>
        <w:tc>
          <w:tcPr>
            <w:tcW w:w="1276" w:type="dxa"/>
            <w:tcBorders>
              <w:top w:val="nil"/>
              <w:left w:val="nil"/>
              <w:bottom w:val="single" w:sz="4" w:space="0" w:color="auto"/>
              <w:right w:val="nil"/>
            </w:tcBorders>
            <w:shd w:val="clear" w:color="auto" w:fill="auto"/>
            <w:noWrap/>
          </w:tcPr>
          <w:p w14:paraId="42A075D9"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48</w:t>
            </w:r>
          </w:p>
        </w:tc>
        <w:tc>
          <w:tcPr>
            <w:tcW w:w="850" w:type="dxa"/>
            <w:tcBorders>
              <w:top w:val="nil"/>
              <w:left w:val="nil"/>
              <w:bottom w:val="single" w:sz="4" w:space="0" w:color="auto"/>
              <w:right w:val="nil"/>
            </w:tcBorders>
            <w:shd w:val="clear" w:color="auto" w:fill="auto"/>
            <w:noWrap/>
          </w:tcPr>
          <w:p w14:paraId="20D5E30C" w14:textId="77777777" w:rsidR="003E361C" w:rsidRDefault="00AE7C0C">
            <w:pPr>
              <w:spacing w:line="480" w:lineRule="auto"/>
              <w:jc w:val="center"/>
              <w:rPr>
                <w:rFonts w:ascii="Times New Roman" w:eastAsia="等线" w:hAnsi="Times New Roman" w:cs="Times New Roman"/>
                <w:kern w:val="0"/>
                <w:sz w:val="24"/>
                <w:szCs w:val="24"/>
              </w:rPr>
            </w:pPr>
            <w:r>
              <w:rPr>
                <w:rFonts w:ascii="Times New Roman" w:eastAsia="等线" w:hAnsi="Times New Roman" w:cs="Times New Roman"/>
                <w:kern w:val="0"/>
                <w:sz w:val="24"/>
                <w:szCs w:val="24"/>
              </w:rPr>
              <w:t>5.21</w:t>
            </w:r>
          </w:p>
        </w:tc>
      </w:tr>
    </w:tbl>
    <w:p w14:paraId="2397C401" w14:textId="77777777" w:rsidR="003E361C" w:rsidRDefault="003E361C">
      <w:pPr>
        <w:spacing w:line="480" w:lineRule="auto"/>
        <w:rPr>
          <w:rFonts w:ascii="Times New Roman" w:hAnsi="Times New Roman" w:cs="Times New Roman"/>
          <w:sz w:val="24"/>
          <w:szCs w:val="24"/>
        </w:rPr>
      </w:pPr>
    </w:p>
    <w:p w14:paraId="10471316" w14:textId="77777777" w:rsidR="003E361C" w:rsidRDefault="00AE7C0C">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67325" cy="39528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67325" cy="3952875"/>
                    </a:xfrm>
                    <a:prstGeom prst="rect">
                      <a:avLst/>
                    </a:prstGeom>
                    <a:noFill/>
                    <a:ln>
                      <a:noFill/>
                    </a:ln>
                  </pic:spPr>
                </pic:pic>
              </a:graphicData>
            </a:graphic>
          </wp:inline>
        </w:drawing>
      </w:r>
    </w:p>
    <w:p w14:paraId="40801A07" w14:textId="3E86BA5C" w:rsidR="003E361C" w:rsidRDefault="00AE7C0C">
      <w:pPr>
        <w:spacing w:line="480" w:lineRule="auto"/>
        <w:rPr>
          <w:rFonts w:ascii="Times New Roman" w:hAnsi="Times New Roman" w:cs="Times New Roman" w:hint="eastAsia"/>
          <w:sz w:val="24"/>
          <w:szCs w:val="24"/>
        </w:rPr>
      </w:pPr>
      <w:r>
        <w:rPr>
          <w:rFonts w:ascii="Times New Roman" w:hAnsi="Times New Roman" w:cs="Times New Roman"/>
          <w:b/>
          <w:sz w:val="24"/>
          <w:szCs w:val="24"/>
        </w:rPr>
        <w:t>Figure S1</w:t>
      </w:r>
      <w:r>
        <w:rPr>
          <w:rFonts w:ascii="Times New Roman" w:hAnsi="Times New Roman" w:cs="Times New Roman"/>
          <w:sz w:val="24"/>
          <w:szCs w:val="24"/>
        </w:rPr>
        <w:t xml:space="preserve">. </w:t>
      </w:r>
      <w:r>
        <w:rPr>
          <w:rFonts w:ascii="Times New Roman" w:hAnsi="Times New Roman" w:cs="Times New Roman"/>
          <w:i/>
          <w:sz w:val="24"/>
          <w:szCs w:val="24"/>
        </w:rPr>
        <w:t xml:space="preserve">Brain regions </w:t>
      </w:r>
      <w:r>
        <w:rPr>
          <w:rFonts w:ascii="Times New Roman" w:hAnsi="Times New Roman" w:cs="Times New Roman"/>
          <w:i/>
          <w:sz w:val="24"/>
          <w:szCs w:val="24"/>
        </w:rPr>
        <w:t>showing stronger activity in reviewing incorrect writing sequences than correct ones.</w:t>
      </w:r>
      <w:r>
        <w:rPr>
          <w:rFonts w:ascii="Times New Roman" w:hAnsi="Times New Roman" w:cs="Times New Roman"/>
          <w:sz w:val="24"/>
          <w:szCs w:val="24"/>
        </w:rPr>
        <w:t xml:space="preserve"> </w:t>
      </w:r>
    </w:p>
    <w:sectPr w:rsidR="003E36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tjQzNTcwNjQwNDdT0lEKTi0uzszPAykwqQUAFiwSMSwAAAA="/>
  </w:docVars>
  <w:rsids>
    <w:rsidRoot w:val="00A36428"/>
    <w:rsid w:val="0005224A"/>
    <w:rsid w:val="001E0D06"/>
    <w:rsid w:val="002F4398"/>
    <w:rsid w:val="003A0522"/>
    <w:rsid w:val="003E361C"/>
    <w:rsid w:val="00606859"/>
    <w:rsid w:val="006E3510"/>
    <w:rsid w:val="006E3D5D"/>
    <w:rsid w:val="00705459"/>
    <w:rsid w:val="00731F42"/>
    <w:rsid w:val="007A693F"/>
    <w:rsid w:val="007C30EF"/>
    <w:rsid w:val="007D06E7"/>
    <w:rsid w:val="00833C6B"/>
    <w:rsid w:val="0092738C"/>
    <w:rsid w:val="009D5AD3"/>
    <w:rsid w:val="00A36428"/>
    <w:rsid w:val="00AE7C0C"/>
    <w:rsid w:val="00B14C06"/>
    <w:rsid w:val="00C260F7"/>
    <w:rsid w:val="00C7689F"/>
    <w:rsid w:val="00CC6569"/>
    <w:rsid w:val="00DB0377"/>
    <w:rsid w:val="00DE0431"/>
    <w:rsid w:val="00FC3B47"/>
    <w:rsid w:val="01D54E77"/>
    <w:rsid w:val="1CEC6ACA"/>
    <w:rsid w:val="25D2524E"/>
    <w:rsid w:val="3279667F"/>
    <w:rsid w:val="4F0425BC"/>
    <w:rsid w:val="6111300A"/>
    <w:rsid w:val="793044A7"/>
    <w:rsid w:val="7F407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31919"/>
  <w15:docId w15:val="{D48156E5-3192-4A54-A488-D9A1AA31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lang w:val="en-GB"/>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lang w:val="en-GB"/>
    </w:rPr>
  </w:style>
  <w:style w:type="character" w:styleId="aa">
    <w:name w:val="Hyperlink"/>
    <w:basedOn w:val="a0"/>
    <w:uiPriority w:val="99"/>
    <w:unhideWhenUsed/>
    <w:rPr>
      <w:color w:val="0563C1" w:themeColor="hyperlink"/>
      <w:u w:val="single"/>
    </w:rPr>
  </w:style>
  <w:style w:type="character" w:styleId="ab">
    <w:name w:val="annotation reference"/>
    <w:basedOn w:val="a0"/>
    <w:uiPriority w:val="99"/>
    <w:semiHidden/>
    <w:unhideWhenUsed/>
    <w:qFormat/>
    <w:rPr>
      <w:sz w:val="21"/>
      <w:szCs w:val="21"/>
    </w:rPr>
  </w:style>
  <w:style w:type="character" w:customStyle="1" w:styleId="a9">
    <w:name w:val="页眉 字符"/>
    <w:basedOn w:val="a0"/>
    <w:link w:val="a8"/>
    <w:uiPriority w:val="99"/>
    <w:rPr>
      <w:sz w:val="18"/>
      <w:szCs w:val="18"/>
      <w:lang w:val="en-GB"/>
    </w:rPr>
  </w:style>
  <w:style w:type="character" w:customStyle="1" w:styleId="a7">
    <w:name w:val="页脚 字符"/>
    <w:basedOn w:val="a0"/>
    <w:link w:val="a6"/>
    <w:uiPriority w:val="99"/>
    <w:rPr>
      <w:sz w:val="18"/>
      <w:szCs w:val="18"/>
      <w:lang w:val="en-GB"/>
    </w:rPr>
  </w:style>
  <w:style w:type="character" w:customStyle="1" w:styleId="1">
    <w:name w:val="未处理的提及1"/>
    <w:basedOn w:val="a0"/>
    <w:uiPriority w:val="99"/>
    <w:semiHidden/>
    <w:unhideWhenUsed/>
    <w:rPr>
      <w:color w:val="605E5C"/>
      <w:shd w:val="clear" w:color="auto" w:fill="E1DFDD"/>
    </w:rPr>
  </w:style>
  <w:style w:type="character" w:customStyle="1" w:styleId="a5">
    <w:name w:val="批注框文本 字符"/>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9</cp:revision>
  <dcterms:created xsi:type="dcterms:W3CDTF">2021-02-02T11:40:00Z</dcterms:created>
  <dcterms:modified xsi:type="dcterms:W3CDTF">2021-02-19T16:56:00Z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