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57"/>
        <w:tblW w:w="12475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709"/>
        <w:gridCol w:w="1275"/>
        <w:gridCol w:w="709"/>
        <w:gridCol w:w="1276"/>
        <w:gridCol w:w="709"/>
        <w:gridCol w:w="1275"/>
        <w:gridCol w:w="709"/>
        <w:gridCol w:w="1418"/>
        <w:gridCol w:w="709"/>
      </w:tblGrid>
      <w:tr w:rsidR="00E7434F" w:rsidRPr="002A455E" w:rsidTr="0070423F">
        <w:trPr>
          <w:trHeight w:val="375"/>
        </w:trPr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TDRM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NRTI</w:t>
            </w:r>
            <w:proofErr w:type="spellEnd"/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TDRM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NNRTI</w:t>
            </w:r>
            <w:proofErr w:type="spellEnd"/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TDRM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TDRM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7434F" w:rsidRPr="002A455E" w:rsidTr="0070423F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Univariate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Univariate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Univariate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Multivariate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Univariate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7434F" w:rsidRPr="002A455E" w:rsidTr="0070423F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</w:p>
        </w:tc>
      </w:tr>
      <w:tr w:rsidR="00E7434F" w:rsidRPr="002A455E" w:rsidTr="0070423F">
        <w:trPr>
          <w:trHeight w:val="4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Age at diagnosis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(0.99-1.06)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1.08(1.03-1.14)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1.03(0.99-1.06)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1.02(0.99-1.06)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0.92(0.11-8.01)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0.939</w:t>
            </w:r>
          </w:p>
        </w:tc>
      </w:tr>
      <w:tr w:rsidR="00E7434F" w:rsidRPr="002A455E" w:rsidTr="0070423F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Baseline values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34F" w:rsidRPr="002A455E" w:rsidTr="0070423F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HIV-RNA load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log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 (0.65-1.67)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 (0.48-2.49)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 (0.62-1.87)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(0.30-3.08)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0.946</w:t>
            </w:r>
          </w:p>
        </w:tc>
      </w:tr>
      <w:tr w:rsidR="00E7434F" w:rsidRPr="002A455E" w:rsidTr="0070423F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sz w:val="16"/>
                <w:szCs w:val="16"/>
              </w:rPr>
              <w:t>Year of diagnosis (2010-2018)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(0.97-1.25)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 (0.78-1.23)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 (1.05-1.45)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1.22(1.03-1.43)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(0.64-1.19)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</w:tr>
      <w:tr w:rsidR="00E7434F" w:rsidRPr="002A455E" w:rsidTr="0070423F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Place of birth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34F" w:rsidRPr="002A455E" w:rsidTr="0070423F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Sub-</w:t>
            </w: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Saharan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7434F" w:rsidRPr="002A455E" w:rsidTr="0070423F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FSU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0.60(0.26-1.37)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7434F" w:rsidRPr="002A455E" w:rsidTr="0070423F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Israel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1.31 (0.50-3.44)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7434F" w:rsidRPr="002A455E" w:rsidTr="0070423F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0.30(0.07-1.36)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7434F" w:rsidRPr="002A455E" w:rsidTr="0070423F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HIV-1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27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subtype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34F" w:rsidRPr="002A455E" w:rsidTr="0070423F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7434F" w:rsidRPr="002A455E" w:rsidTr="0070423F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1.48(0.67-3.30)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3.77 (0.42-34.14)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0.238</w:t>
            </w:r>
          </w:p>
        </w:tc>
      </w:tr>
      <w:tr w:rsidR="00E7434F" w:rsidRPr="002A455E" w:rsidTr="0070423F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 A,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1.28(0.47-3.48)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1.99(0.12-32.240)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34F" w:rsidRPr="00627BC2" w:rsidRDefault="00E7434F" w:rsidP="00704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7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</w:tr>
    </w:tbl>
    <w:p w:rsidR="00E7434F" w:rsidRDefault="00E7434F" w:rsidP="00E7434F">
      <w:r>
        <w:t xml:space="preserve">Table </w:t>
      </w:r>
      <w:proofErr w:type="spellStart"/>
      <w:r>
        <w:t>S1</w:t>
      </w:r>
      <w:proofErr w:type="spellEnd"/>
      <w:r>
        <w:t xml:space="preserve">: </w:t>
      </w:r>
      <w:r w:rsidRPr="002E0525">
        <w:t xml:space="preserve">Predictors of </w:t>
      </w:r>
      <w:proofErr w:type="spellStart"/>
      <w:r w:rsidRPr="002E0525">
        <w:t>TDRM</w:t>
      </w:r>
      <w:proofErr w:type="spellEnd"/>
      <w:r w:rsidRPr="002E0525">
        <w:t xml:space="preserve">: </w:t>
      </w:r>
      <w:proofErr w:type="spellStart"/>
      <w:r w:rsidRPr="002E0525">
        <w:t>univariate</w:t>
      </w:r>
      <w:proofErr w:type="spellEnd"/>
      <w:r w:rsidRPr="002E0525">
        <w:t xml:space="preserve"> and multivariate models</w:t>
      </w:r>
    </w:p>
    <w:p w:rsidR="00E7434F" w:rsidRDefault="00E7434F" w:rsidP="00E7434F">
      <w:pPr>
        <w:rPr>
          <w:rFonts w:asciiTheme="majorBidi" w:hAnsiTheme="majorBidi" w:cstheme="majorBidi"/>
          <w:sz w:val="18"/>
          <w:szCs w:val="18"/>
        </w:rPr>
      </w:pPr>
    </w:p>
    <w:p w:rsidR="00E7434F" w:rsidRPr="00B260A2" w:rsidRDefault="00E7434F" w:rsidP="00E7434F">
      <w:pPr>
        <w:rPr>
          <w:rFonts w:asciiTheme="majorBidi" w:hAnsiTheme="majorBidi" w:cstheme="majorBidi"/>
          <w:sz w:val="18"/>
          <w:szCs w:val="18"/>
        </w:rPr>
      </w:pPr>
      <w:proofErr w:type="spellStart"/>
      <w:r>
        <w:rPr>
          <w:sz w:val="18"/>
          <w:szCs w:val="18"/>
        </w:rPr>
        <w:t>TDRM</w:t>
      </w:r>
      <w:proofErr w:type="spellEnd"/>
      <w:r>
        <w:rPr>
          <w:sz w:val="18"/>
          <w:szCs w:val="18"/>
        </w:rPr>
        <w:t xml:space="preserve">, transmitted drug resistance mutations; </w:t>
      </w:r>
      <w:proofErr w:type="spellStart"/>
      <w:r w:rsidRPr="004D421F">
        <w:rPr>
          <w:sz w:val="18"/>
          <w:szCs w:val="18"/>
        </w:rPr>
        <w:t>NRTI</w:t>
      </w:r>
      <w:proofErr w:type="spellEnd"/>
      <w:r w:rsidRPr="004D421F">
        <w:rPr>
          <w:sz w:val="18"/>
          <w:szCs w:val="18"/>
        </w:rPr>
        <w:t>, nucleoside reverse transcriptase</w:t>
      </w:r>
      <w:r>
        <w:rPr>
          <w:sz w:val="18"/>
          <w:szCs w:val="18"/>
        </w:rPr>
        <w:t xml:space="preserve"> inhibit</w:t>
      </w:r>
      <w:r w:rsidRPr="00780930">
        <w:rPr>
          <w:sz w:val="18"/>
          <w:szCs w:val="18"/>
        </w:rPr>
        <w:t xml:space="preserve">ors; </w:t>
      </w:r>
      <w:proofErr w:type="spellStart"/>
      <w:r w:rsidRPr="00780930">
        <w:rPr>
          <w:sz w:val="18"/>
          <w:szCs w:val="18"/>
        </w:rPr>
        <w:t>NNRTI</w:t>
      </w:r>
      <w:proofErr w:type="spellEnd"/>
      <w:r w:rsidRPr="00780930">
        <w:rPr>
          <w:sz w:val="18"/>
          <w:szCs w:val="18"/>
        </w:rPr>
        <w:t>, non-nucleoside transcriptase inhibitors; PI, protease inhibitors</w:t>
      </w:r>
      <w:r w:rsidRPr="00780930">
        <w:rPr>
          <w:rFonts w:asciiTheme="majorBidi" w:hAnsiTheme="majorBidi" w:cstheme="majorBidi"/>
          <w:sz w:val="18"/>
          <w:szCs w:val="18"/>
        </w:rPr>
        <w:t xml:space="preserve">. p&lt;0.1 was chosen as the cut-off for selecting the potential predictors into the multivariate analyses. In multivariate analysis of </w:t>
      </w:r>
      <w:proofErr w:type="spellStart"/>
      <w:r w:rsidRPr="00780930">
        <w:rPr>
          <w:rFonts w:asciiTheme="majorBidi" w:hAnsiTheme="majorBidi" w:cstheme="majorBidi"/>
          <w:sz w:val="18"/>
          <w:szCs w:val="18"/>
        </w:rPr>
        <w:t>NNRTI</w:t>
      </w:r>
      <w:proofErr w:type="spellEnd"/>
      <w:r w:rsidRPr="00780930">
        <w:rPr>
          <w:rFonts w:asciiTheme="majorBidi" w:hAnsiTheme="majorBidi" w:cstheme="majorBidi"/>
          <w:sz w:val="18"/>
          <w:szCs w:val="18"/>
        </w:rPr>
        <w:t>, the predictor year of diagnosis remained significant after adjusting for the age at diagnosis in years at 0.05 level of significance.</w:t>
      </w:r>
      <w:r w:rsidRPr="004D421F">
        <w:rPr>
          <w:rFonts w:asciiTheme="majorBidi" w:hAnsiTheme="majorBidi" w:cstheme="majorBidi"/>
          <w:sz w:val="18"/>
          <w:szCs w:val="18"/>
        </w:rPr>
        <w:t xml:space="preserve"> *** Regression a</w:t>
      </w:r>
      <w:r>
        <w:rPr>
          <w:rFonts w:asciiTheme="majorBidi" w:hAnsiTheme="majorBidi" w:cstheme="majorBidi"/>
          <w:sz w:val="18"/>
          <w:szCs w:val="18"/>
        </w:rPr>
        <w:t>nalysis for place of birth (sub-Saharan Africa, FSU</w:t>
      </w:r>
      <w:r w:rsidRPr="004D421F">
        <w:rPr>
          <w:rFonts w:asciiTheme="majorBidi" w:hAnsiTheme="majorBidi" w:cstheme="majorBidi"/>
          <w:sz w:val="18"/>
          <w:szCs w:val="18"/>
        </w:rPr>
        <w:t>,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4D421F">
        <w:rPr>
          <w:rFonts w:asciiTheme="majorBidi" w:hAnsiTheme="majorBidi" w:cstheme="majorBidi"/>
          <w:sz w:val="18"/>
          <w:szCs w:val="18"/>
        </w:rPr>
        <w:t>I</w:t>
      </w:r>
      <w:r>
        <w:rPr>
          <w:rFonts w:asciiTheme="majorBidi" w:hAnsiTheme="majorBidi" w:cstheme="majorBidi"/>
          <w:sz w:val="18"/>
          <w:szCs w:val="18"/>
        </w:rPr>
        <w:t>srael and other</w:t>
      </w:r>
      <w:r w:rsidRPr="004D421F">
        <w:rPr>
          <w:rFonts w:asciiTheme="majorBidi" w:hAnsiTheme="majorBidi" w:cstheme="majorBidi"/>
          <w:sz w:val="18"/>
          <w:szCs w:val="18"/>
        </w:rPr>
        <w:t xml:space="preserve">) </w:t>
      </w:r>
      <w:r>
        <w:rPr>
          <w:rFonts w:asciiTheme="majorBidi" w:hAnsiTheme="majorBidi" w:cstheme="majorBidi"/>
          <w:sz w:val="18"/>
          <w:szCs w:val="18"/>
        </w:rPr>
        <w:t xml:space="preserve">and </w:t>
      </w:r>
      <w:r w:rsidRPr="00233353">
        <w:rPr>
          <w:rFonts w:asciiTheme="majorBidi" w:hAnsiTheme="majorBidi" w:cstheme="majorBidi"/>
          <w:sz w:val="18"/>
          <w:szCs w:val="18"/>
        </w:rPr>
        <w:t xml:space="preserve">for HIV subtype (A, C or non A/C) is not displayed for the all </w:t>
      </w:r>
      <w:proofErr w:type="spellStart"/>
      <w:r w:rsidRPr="00233353">
        <w:rPr>
          <w:rFonts w:asciiTheme="majorBidi" w:hAnsiTheme="majorBidi" w:cstheme="majorBidi"/>
          <w:sz w:val="18"/>
          <w:szCs w:val="18"/>
        </w:rPr>
        <w:t>TDRM</w:t>
      </w:r>
      <w:proofErr w:type="spellEnd"/>
      <w:r w:rsidRPr="00233353">
        <w:rPr>
          <w:rFonts w:asciiTheme="majorBidi" w:hAnsiTheme="majorBidi" w:cstheme="majorBidi"/>
          <w:sz w:val="18"/>
          <w:szCs w:val="18"/>
        </w:rPr>
        <w:t xml:space="preserve"> subgroups and HIV subtype for </w:t>
      </w:r>
      <w:proofErr w:type="spellStart"/>
      <w:r w:rsidRPr="00233353">
        <w:rPr>
          <w:rFonts w:asciiTheme="majorBidi" w:hAnsiTheme="majorBidi" w:cstheme="majorBidi"/>
          <w:sz w:val="18"/>
          <w:szCs w:val="18"/>
        </w:rPr>
        <w:t>NRTI</w:t>
      </w:r>
      <w:proofErr w:type="spellEnd"/>
      <w:r w:rsidRPr="00233353">
        <w:rPr>
          <w:rFonts w:asciiTheme="majorBidi" w:hAnsiTheme="majorBidi" w:cstheme="majorBidi"/>
          <w:sz w:val="18"/>
          <w:szCs w:val="18"/>
        </w:rPr>
        <w:t xml:space="preserve"> and </w:t>
      </w:r>
      <w:proofErr w:type="spellStart"/>
      <w:r w:rsidRPr="00233353">
        <w:rPr>
          <w:rFonts w:asciiTheme="majorBidi" w:hAnsiTheme="majorBidi" w:cstheme="majorBidi"/>
          <w:sz w:val="18"/>
          <w:szCs w:val="18"/>
        </w:rPr>
        <w:t>NNRTI</w:t>
      </w:r>
      <w:proofErr w:type="spellEnd"/>
      <w:r w:rsidRPr="00233353">
        <w:rPr>
          <w:rFonts w:asciiTheme="majorBidi" w:hAnsiTheme="majorBidi" w:cstheme="majorBidi"/>
          <w:sz w:val="18"/>
          <w:szCs w:val="18"/>
        </w:rPr>
        <w:t xml:space="preserve"> subgroups </w:t>
      </w:r>
      <w:r>
        <w:rPr>
          <w:rFonts w:asciiTheme="majorBidi" w:hAnsiTheme="majorBidi" w:cstheme="majorBidi"/>
          <w:sz w:val="18"/>
          <w:szCs w:val="18"/>
        </w:rPr>
        <w:t xml:space="preserve">due to uncertainty </w:t>
      </w:r>
      <w:r w:rsidRPr="00233353">
        <w:rPr>
          <w:rFonts w:asciiTheme="majorBidi" w:hAnsiTheme="majorBidi" w:cstheme="majorBidi"/>
          <w:sz w:val="18"/>
          <w:szCs w:val="18"/>
        </w:rPr>
        <w:t xml:space="preserve">in model validity (above 95% of women had no </w:t>
      </w:r>
      <w:proofErr w:type="spellStart"/>
      <w:r w:rsidRPr="00233353">
        <w:rPr>
          <w:rFonts w:asciiTheme="majorBidi" w:hAnsiTheme="majorBidi" w:cstheme="majorBidi"/>
          <w:sz w:val="18"/>
          <w:szCs w:val="18"/>
        </w:rPr>
        <w:t>NRTI</w:t>
      </w:r>
      <w:proofErr w:type="spellEnd"/>
      <w:r w:rsidRPr="00233353">
        <w:rPr>
          <w:rFonts w:asciiTheme="majorBidi" w:hAnsiTheme="majorBidi" w:cstheme="majorBidi"/>
          <w:sz w:val="18"/>
          <w:szCs w:val="18"/>
        </w:rPr>
        <w:t>,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</w:rPr>
        <w:t>NNRTI</w:t>
      </w:r>
      <w:proofErr w:type="spellEnd"/>
      <w:r>
        <w:rPr>
          <w:rFonts w:asciiTheme="majorBidi" w:hAnsiTheme="majorBidi" w:cstheme="majorBidi"/>
          <w:sz w:val="18"/>
          <w:szCs w:val="18"/>
        </w:rPr>
        <w:t xml:space="preserve"> and PI mutations)</w:t>
      </w:r>
    </w:p>
    <w:p w:rsidR="00111C08" w:rsidRDefault="00111C08"/>
    <w:sectPr w:rsidR="00111C08" w:rsidSect="00E7434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03"/>
    <w:rsid w:val="00111C08"/>
    <w:rsid w:val="00403703"/>
    <w:rsid w:val="00E7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CC8AC-DCCE-462C-8BF2-2C620377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34F"/>
    <w:pPr>
      <w:spacing w:after="200" w:line="276" w:lineRule="auto"/>
    </w:pPr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ארנה, דר</dc:creator>
  <cp:keywords/>
  <dc:description/>
  <cp:lastModifiedBy>מור ארנה, דר</cp:lastModifiedBy>
  <cp:revision>2</cp:revision>
  <dcterms:created xsi:type="dcterms:W3CDTF">2020-08-28T11:03:00Z</dcterms:created>
  <dcterms:modified xsi:type="dcterms:W3CDTF">2020-08-28T11:05:00Z</dcterms:modified>
</cp:coreProperties>
</file>