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1E0A2" w14:textId="548483E9" w:rsidR="00764EA7" w:rsidRDefault="003E111D" w:rsidP="003E111D">
      <w:pPr>
        <w:spacing w:line="360" w:lineRule="auto"/>
        <w:ind w:firstLineChars="200" w:firstLine="420"/>
        <w:rPr>
          <w:rFonts w:ascii="Times New Roman" w:hAnsi="Times New Roman"/>
          <w:szCs w:val="21"/>
        </w:rPr>
      </w:pPr>
      <w:r>
        <w:rPr>
          <w:rFonts w:ascii="Times New Roman" w:hAnsi="Times New Roman"/>
          <w:szCs w:val="21"/>
        </w:rPr>
        <w:t>A</w:t>
      </w:r>
      <w:r w:rsidRPr="003E111D">
        <w:rPr>
          <w:rFonts w:ascii="Times New Roman" w:hAnsi="Times New Roman"/>
          <w:szCs w:val="21"/>
        </w:rPr>
        <w:t>ll the patients hospitalized with HSPN were preliminarily discharged after active treatment and after their clinical symptoms and signs were under control. Next, they were followed up via outpatient service every two weeks or once a month depending on the level of proteinuria until their condition was under control. HSPN patients with crescent formation were treated with glucocorticoids combined with cyclophosphamide pulse therapy, once per month, six times in total, routinely [ref 15, 16]. Urinary ACR, which is a sensitive biomarker of renal outcome in patients with HSPN, was tested during the period of hospitalization. Matched t-tests were performed between urinary ACR tested before biopsy and after active treatment. Next, the renal outcomes of patients with HSPN during hospitalization are listed below (Supplemental Table 1). After standardized and active treatment, the two groups of HSPN children with or without crescent formation, achieved significant therapeutic effects, and the matched t-tests showed significant differences.</w:t>
      </w:r>
    </w:p>
    <w:p w14:paraId="6A69D113" w14:textId="77777777" w:rsidR="00063C8E" w:rsidRDefault="00063C8E" w:rsidP="003E111D">
      <w:pPr>
        <w:spacing w:line="360" w:lineRule="auto"/>
        <w:ind w:firstLineChars="200" w:firstLine="480"/>
        <w:rPr>
          <w:rFonts w:ascii="Times New Roman" w:hAnsi="Times New Roman"/>
          <w:sz w:val="24"/>
        </w:rPr>
      </w:pPr>
    </w:p>
    <w:p w14:paraId="3BC37D2B" w14:textId="609DF6F2" w:rsidR="00764EA7" w:rsidRPr="00856F4D" w:rsidRDefault="00764EA7" w:rsidP="00764EA7">
      <w:pPr>
        <w:spacing w:line="360" w:lineRule="auto"/>
        <w:jc w:val="center"/>
        <w:rPr>
          <w:rFonts w:ascii="Times New Roman" w:hAnsi="Times New Roman"/>
          <w:szCs w:val="21"/>
        </w:rPr>
      </w:pPr>
      <w:r>
        <w:rPr>
          <w:rFonts w:ascii="Times New Roman" w:hAnsi="Times New Roman"/>
          <w:szCs w:val="21"/>
        </w:rPr>
        <w:t xml:space="preserve">Supplemental </w:t>
      </w:r>
      <w:r w:rsidRPr="00856F4D">
        <w:rPr>
          <w:rFonts w:ascii="Times New Roman" w:hAnsi="Times New Roman" w:hint="eastAsia"/>
          <w:szCs w:val="21"/>
        </w:rPr>
        <w:t>T</w:t>
      </w:r>
      <w:r w:rsidRPr="00856F4D">
        <w:rPr>
          <w:rFonts w:ascii="Times New Roman" w:hAnsi="Times New Roman"/>
          <w:szCs w:val="21"/>
        </w:rPr>
        <w:t xml:space="preserve">able 1. </w:t>
      </w:r>
      <w:r w:rsidR="003E111D" w:rsidRPr="00856F4D">
        <w:rPr>
          <w:rFonts w:ascii="Times New Roman" w:hAnsi="Times New Roman"/>
        </w:rPr>
        <w:t>The</w:t>
      </w:r>
      <w:r w:rsidR="003E111D">
        <w:rPr>
          <w:rFonts w:ascii="Times New Roman" w:hAnsi="Times New Roman"/>
        </w:rPr>
        <w:t xml:space="preserve"> </w:t>
      </w:r>
      <w:r w:rsidR="003E111D" w:rsidRPr="00856F4D">
        <w:rPr>
          <w:rFonts w:ascii="Times New Roman" w:hAnsi="Times New Roman"/>
        </w:rPr>
        <w:t>matched</w:t>
      </w:r>
      <w:r w:rsidR="003E111D">
        <w:rPr>
          <w:rFonts w:ascii="Times New Roman" w:hAnsi="Times New Roman"/>
        </w:rPr>
        <w:t xml:space="preserve"> </w:t>
      </w:r>
      <w:r w:rsidR="003E111D" w:rsidRPr="00856F4D">
        <w:rPr>
          <w:rFonts w:ascii="Times New Roman" w:hAnsi="Times New Roman" w:hint="eastAsia"/>
          <w:i/>
          <w:iCs/>
        </w:rPr>
        <w:t>t</w:t>
      </w:r>
      <w:r w:rsidR="003E111D" w:rsidRPr="00856F4D">
        <w:rPr>
          <w:rFonts w:ascii="Times New Roman" w:hAnsi="Times New Roman"/>
        </w:rPr>
        <w:t>-test</w:t>
      </w:r>
      <w:r w:rsidR="003E111D">
        <w:rPr>
          <w:rFonts w:ascii="Times New Roman" w:hAnsi="Times New Roman"/>
        </w:rPr>
        <w:t xml:space="preserve"> </w:t>
      </w:r>
      <w:r w:rsidR="003E111D" w:rsidRPr="00856F4D">
        <w:rPr>
          <w:rFonts w:ascii="Times New Roman" w:hAnsi="Times New Roman"/>
        </w:rPr>
        <w:t>w</w:t>
      </w:r>
      <w:r w:rsidR="003E111D">
        <w:rPr>
          <w:rFonts w:ascii="Times New Roman" w:hAnsi="Times New Roman"/>
        </w:rPr>
        <w:t xml:space="preserve">as </w:t>
      </w:r>
      <w:r w:rsidR="003E111D" w:rsidRPr="00856F4D">
        <w:rPr>
          <w:rFonts w:ascii="Times New Roman" w:hAnsi="Times New Roman"/>
        </w:rPr>
        <w:t>performed</w:t>
      </w:r>
      <w:bookmarkStart w:id="0" w:name="_Hlk46094774"/>
      <w:r w:rsidR="003E111D">
        <w:rPr>
          <w:rFonts w:ascii="Times New Roman" w:hAnsi="Times New Roman"/>
        </w:rPr>
        <w:t xml:space="preserve"> </w:t>
      </w:r>
      <w:r w:rsidR="003E111D" w:rsidRPr="00856F4D">
        <w:rPr>
          <w:rFonts w:ascii="Times New Roman" w:hAnsi="Times New Roman"/>
        </w:rPr>
        <w:t>between</w:t>
      </w:r>
      <w:r w:rsidR="003E111D">
        <w:rPr>
          <w:rFonts w:ascii="Times New Roman" w:hAnsi="Times New Roman"/>
        </w:rPr>
        <w:t xml:space="preserve"> </w:t>
      </w:r>
      <w:r w:rsidR="003E111D" w:rsidRPr="00856F4D">
        <w:rPr>
          <w:rFonts w:ascii="Times New Roman" w:hAnsi="Times New Roman"/>
        </w:rPr>
        <w:t>urinary</w:t>
      </w:r>
      <w:r w:rsidR="003E111D">
        <w:rPr>
          <w:rFonts w:ascii="Times New Roman" w:hAnsi="Times New Roman"/>
        </w:rPr>
        <w:t xml:space="preserve"> </w:t>
      </w:r>
      <w:r w:rsidR="003E111D" w:rsidRPr="00856F4D">
        <w:rPr>
          <w:rFonts w:ascii="Times New Roman" w:hAnsi="Times New Roman"/>
        </w:rPr>
        <w:t>ACR</w:t>
      </w:r>
      <w:r w:rsidR="003E111D">
        <w:rPr>
          <w:rFonts w:ascii="Times New Roman" w:hAnsi="Times New Roman"/>
        </w:rPr>
        <w:t xml:space="preserve"> </w:t>
      </w:r>
      <w:r w:rsidR="003E111D" w:rsidRPr="00856F4D">
        <w:rPr>
          <w:rFonts w:ascii="Times New Roman" w:hAnsi="Times New Roman"/>
        </w:rPr>
        <w:t>tested</w:t>
      </w:r>
      <w:r w:rsidR="003E111D">
        <w:rPr>
          <w:rFonts w:ascii="Times New Roman" w:hAnsi="Times New Roman"/>
        </w:rPr>
        <w:t xml:space="preserve"> </w:t>
      </w:r>
      <w:r w:rsidR="003E111D" w:rsidRPr="00856F4D">
        <w:rPr>
          <w:rFonts w:ascii="Times New Roman" w:hAnsi="Times New Roman"/>
        </w:rPr>
        <w:t>before</w:t>
      </w:r>
      <w:r w:rsidR="003E111D">
        <w:rPr>
          <w:rFonts w:ascii="Times New Roman" w:hAnsi="Times New Roman"/>
        </w:rPr>
        <w:t xml:space="preserve"> </w:t>
      </w:r>
      <w:r w:rsidR="003E111D" w:rsidRPr="00856F4D">
        <w:rPr>
          <w:rFonts w:ascii="Times New Roman" w:hAnsi="Times New Roman"/>
        </w:rPr>
        <w:t>biopsy</w:t>
      </w:r>
      <w:r w:rsidR="003E111D">
        <w:rPr>
          <w:rFonts w:ascii="Times New Roman" w:hAnsi="Times New Roman"/>
        </w:rPr>
        <w:t xml:space="preserve"> </w:t>
      </w:r>
      <w:r w:rsidR="003E111D" w:rsidRPr="00856F4D">
        <w:rPr>
          <w:rFonts w:ascii="Times New Roman" w:hAnsi="Times New Roman"/>
        </w:rPr>
        <w:t>and</w:t>
      </w:r>
      <w:r w:rsidR="003E111D">
        <w:rPr>
          <w:rFonts w:ascii="Times New Roman" w:hAnsi="Times New Roman"/>
        </w:rPr>
        <w:t xml:space="preserve"> </w:t>
      </w:r>
      <w:r w:rsidR="003E111D" w:rsidRPr="00856F4D">
        <w:rPr>
          <w:rFonts w:ascii="Times New Roman" w:hAnsi="Times New Roman"/>
        </w:rPr>
        <w:t>after</w:t>
      </w:r>
      <w:r w:rsidR="003E111D">
        <w:rPr>
          <w:rFonts w:ascii="Times New Roman" w:hAnsi="Times New Roman"/>
        </w:rPr>
        <w:t xml:space="preserve"> </w:t>
      </w:r>
      <w:r w:rsidR="003E111D" w:rsidRPr="00856F4D">
        <w:rPr>
          <w:rFonts w:ascii="Times New Roman" w:hAnsi="Times New Roman"/>
        </w:rPr>
        <w:t>active</w:t>
      </w:r>
      <w:r w:rsidR="003E111D">
        <w:rPr>
          <w:rFonts w:ascii="Times New Roman" w:hAnsi="Times New Roman"/>
        </w:rPr>
        <w:t xml:space="preserve"> </w:t>
      </w:r>
      <w:r w:rsidR="003E111D" w:rsidRPr="00856F4D">
        <w:rPr>
          <w:rFonts w:ascii="Times New Roman" w:hAnsi="Times New Roman"/>
        </w:rPr>
        <w:t>treatment</w:t>
      </w:r>
      <w:r w:rsidR="003E111D">
        <w:rPr>
          <w:rFonts w:ascii="Times New Roman" w:hAnsi="Times New Roman"/>
        </w:rPr>
        <w:t xml:space="preserve">, followed by discharge of </w:t>
      </w:r>
      <w:r w:rsidR="003E111D" w:rsidRPr="00856F4D">
        <w:rPr>
          <w:rFonts w:ascii="Times New Roman" w:hAnsi="Times New Roman"/>
        </w:rPr>
        <w:t>patients</w:t>
      </w:r>
      <w:r w:rsidR="003E111D">
        <w:rPr>
          <w:rFonts w:ascii="Times New Roman" w:hAnsi="Times New Roman"/>
        </w:rPr>
        <w:t xml:space="preserve"> </w:t>
      </w:r>
      <w:r w:rsidR="003E111D" w:rsidRPr="00856F4D">
        <w:rPr>
          <w:rFonts w:ascii="Times New Roman" w:hAnsi="Times New Roman"/>
        </w:rPr>
        <w:t>from</w:t>
      </w:r>
      <w:r w:rsidR="003E111D">
        <w:rPr>
          <w:rFonts w:ascii="Times New Roman" w:hAnsi="Times New Roman"/>
        </w:rPr>
        <w:t xml:space="preserve"> the </w:t>
      </w:r>
      <w:r w:rsidR="003E111D" w:rsidRPr="00856F4D">
        <w:rPr>
          <w:rFonts w:ascii="Times New Roman" w:hAnsi="Times New Roman"/>
        </w:rPr>
        <w:t>hospital.</w:t>
      </w:r>
      <w:bookmarkEnd w:id="0"/>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01"/>
        <w:gridCol w:w="1559"/>
        <w:gridCol w:w="2268"/>
        <w:gridCol w:w="284"/>
        <w:gridCol w:w="1066"/>
      </w:tblGrid>
      <w:tr w:rsidR="00764EA7" w14:paraId="29A030A9" w14:textId="77777777" w:rsidTr="00714FB3">
        <w:trPr>
          <w:trHeight w:hRule="exact" w:val="454"/>
        </w:trPr>
        <w:tc>
          <w:tcPr>
            <w:tcW w:w="1418" w:type="dxa"/>
            <w:tcBorders>
              <w:top w:val="single" w:sz="12" w:space="0" w:color="auto"/>
              <w:bottom w:val="single" w:sz="8" w:space="0" w:color="auto"/>
            </w:tcBorders>
          </w:tcPr>
          <w:p w14:paraId="55A5BE0D" w14:textId="77777777" w:rsidR="00764EA7" w:rsidRPr="00600569" w:rsidRDefault="00764EA7" w:rsidP="00714FB3">
            <w:pPr>
              <w:spacing w:line="100" w:lineRule="atLeast"/>
              <w:jc w:val="center"/>
              <w:rPr>
                <w:szCs w:val="21"/>
              </w:rPr>
            </w:pPr>
            <w:r>
              <w:rPr>
                <w:rFonts w:hint="eastAsia"/>
                <w:szCs w:val="21"/>
              </w:rPr>
              <w:t>G</w:t>
            </w:r>
            <w:r>
              <w:rPr>
                <w:szCs w:val="21"/>
              </w:rPr>
              <w:t>rade</w:t>
            </w:r>
          </w:p>
        </w:tc>
        <w:tc>
          <w:tcPr>
            <w:tcW w:w="1701" w:type="dxa"/>
            <w:tcBorders>
              <w:top w:val="single" w:sz="12" w:space="0" w:color="auto"/>
              <w:bottom w:val="single" w:sz="8" w:space="0" w:color="auto"/>
            </w:tcBorders>
          </w:tcPr>
          <w:p w14:paraId="5278D3FC" w14:textId="77777777" w:rsidR="00764EA7" w:rsidRPr="00600569" w:rsidRDefault="00764EA7" w:rsidP="00714FB3">
            <w:pPr>
              <w:spacing w:line="100" w:lineRule="atLeast"/>
              <w:jc w:val="center"/>
              <w:rPr>
                <w:szCs w:val="21"/>
              </w:rPr>
            </w:pPr>
            <w:r w:rsidRPr="00600569">
              <w:rPr>
                <w:rFonts w:hint="eastAsia"/>
                <w:szCs w:val="21"/>
              </w:rPr>
              <w:t>A</w:t>
            </w:r>
            <w:r w:rsidRPr="00600569">
              <w:rPr>
                <w:szCs w:val="21"/>
              </w:rPr>
              <w:t>CR (before)</w:t>
            </w:r>
          </w:p>
        </w:tc>
        <w:tc>
          <w:tcPr>
            <w:tcW w:w="1559" w:type="dxa"/>
            <w:tcBorders>
              <w:top w:val="single" w:sz="12" w:space="0" w:color="auto"/>
              <w:bottom w:val="single" w:sz="8" w:space="0" w:color="auto"/>
            </w:tcBorders>
          </w:tcPr>
          <w:p w14:paraId="00694D88" w14:textId="77777777" w:rsidR="00764EA7" w:rsidRPr="00600569" w:rsidRDefault="00764EA7" w:rsidP="00714FB3">
            <w:pPr>
              <w:spacing w:line="100" w:lineRule="atLeast"/>
              <w:jc w:val="center"/>
              <w:rPr>
                <w:szCs w:val="21"/>
              </w:rPr>
            </w:pPr>
            <w:r w:rsidRPr="00600569">
              <w:rPr>
                <w:rFonts w:hint="eastAsia"/>
                <w:szCs w:val="21"/>
              </w:rPr>
              <w:t>A</w:t>
            </w:r>
            <w:r w:rsidRPr="00600569">
              <w:rPr>
                <w:szCs w:val="21"/>
              </w:rPr>
              <w:t>CR (after)</w:t>
            </w:r>
          </w:p>
        </w:tc>
        <w:tc>
          <w:tcPr>
            <w:tcW w:w="2552" w:type="dxa"/>
            <w:gridSpan w:val="2"/>
            <w:tcBorders>
              <w:top w:val="single" w:sz="12" w:space="0" w:color="auto"/>
              <w:bottom w:val="single" w:sz="8" w:space="0" w:color="auto"/>
            </w:tcBorders>
          </w:tcPr>
          <w:p w14:paraId="62D00BDB" w14:textId="77777777" w:rsidR="00764EA7" w:rsidRPr="00875E35" w:rsidRDefault="00764EA7" w:rsidP="00714FB3">
            <w:pPr>
              <w:spacing w:line="100" w:lineRule="atLeast"/>
              <w:jc w:val="center"/>
              <w:rPr>
                <w:szCs w:val="21"/>
              </w:rPr>
            </w:pPr>
            <w:r w:rsidRPr="00875E35">
              <w:rPr>
                <w:rFonts w:hint="eastAsia"/>
                <w:szCs w:val="21"/>
              </w:rPr>
              <w:t>A</w:t>
            </w:r>
            <w:r w:rsidRPr="00875E35">
              <w:rPr>
                <w:szCs w:val="21"/>
              </w:rPr>
              <w:t>CR</w:t>
            </w:r>
            <w:bookmarkStart w:id="1" w:name="_Hlk46093247"/>
            <w:r w:rsidRPr="00875E35">
              <w:rPr>
                <w:szCs w:val="21"/>
              </w:rPr>
              <w:t>(before)-ACR(after)</w:t>
            </w:r>
            <w:bookmarkEnd w:id="1"/>
          </w:p>
        </w:tc>
        <w:tc>
          <w:tcPr>
            <w:tcW w:w="1066" w:type="dxa"/>
            <w:tcBorders>
              <w:top w:val="single" w:sz="12" w:space="0" w:color="auto"/>
              <w:bottom w:val="single" w:sz="8" w:space="0" w:color="auto"/>
            </w:tcBorders>
          </w:tcPr>
          <w:p w14:paraId="6263CC44" w14:textId="77777777" w:rsidR="00764EA7" w:rsidRPr="00600569" w:rsidRDefault="00764EA7" w:rsidP="00714FB3">
            <w:pPr>
              <w:spacing w:line="100" w:lineRule="atLeast"/>
              <w:jc w:val="center"/>
              <w:rPr>
                <w:szCs w:val="21"/>
              </w:rPr>
            </w:pPr>
            <w:r>
              <w:rPr>
                <w:rFonts w:hint="eastAsia"/>
                <w:szCs w:val="21"/>
              </w:rPr>
              <w:t>P</w:t>
            </w:r>
          </w:p>
        </w:tc>
      </w:tr>
      <w:tr w:rsidR="00764EA7" w14:paraId="760559F1" w14:textId="77777777" w:rsidTr="00714FB3">
        <w:trPr>
          <w:trHeight w:hRule="exact" w:val="454"/>
        </w:trPr>
        <w:tc>
          <w:tcPr>
            <w:tcW w:w="1418" w:type="dxa"/>
            <w:tcBorders>
              <w:top w:val="single" w:sz="8" w:space="0" w:color="auto"/>
              <w:bottom w:val="nil"/>
            </w:tcBorders>
          </w:tcPr>
          <w:p w14:paraId="017782B7" w14:textId="77777777" w:rsidR="00764EA7" w:rsidRPr="00600569" w:rsidRDefault="00764EA7" w:rsidP="00714FB3">
            <w:pPr>
              <w:spacing w:line="100" w:lineRule="atLeast"/>
              <w:jc w:val="left"/>
              <w:rPr>
                <w:szCs w:val="21"/>
              </w:rPr>
            </w:pPr>
            <w:r w:rsidRPr="00600569">
              <w:rPr>
                <w:rFonts w:hint="eastAsia"/>
                <w:szCs w:val="21"/>
              </w:rPr>
              <w:t>I</w:t>
            </w:r>
            <w:r w:rsidRPr="00600569">
              <w:rPr>
                <w:szCs w:val="21"/>
              </w:rPr>
              <w:t>-II</w:t>
            </w:r>
            <w:r>
              <w:rPr>
                <w:szCs w:val="21"/>
              </w:rPr>
              <w:t xml:space="preserve"> </w:t>
            </w:r>
            <w:r>
              <w:rPr>
                <w:rFonts w:hint="eastAsia"/>
                <w:szCs w:val="21"/>
              </w:rPr>
              <w:t>(</w:t>
            </w:r>
            <w:r>
              <w:rPr>
                <w:szCs w:val="21"/>
              </w:rPr>
              <w:t>n=137</w:t>
            </w:r>
            <w:r>
              <w:rPr>
                <w:rFonts w:hint="eastAsia"/>
                <w:szCs w:val="21"/>
              </w:rPr>
              <w:t>）</w:t>
            </w:r>
          </w:p>
        </w:tc>
        <w:tc>
          <w:tcPr>
            <w:tcW w:w="1701" w:type="dxa"/>
            <w:tcBorders>
              <w:top w:val="single" w:sz="8" w:space="0" w:color="auto"/>
              <w:bottom w:val="nil"/>
            </w:tcBorders>
          </w:tcPr>
          <w:p w14:paraId="60DE4640" w14:textId="77777777" w:rsidR="00764EA7" w:rsidRPr="00600569" w:rsidRDefault="00764EA7" w:rsidP="00714FB3">
            <w:pPr>
              <w:spacing w:line="100" w:lineRule="atLeast"/>
              <w:jc w:val="center"/>
              <w:rPr>
                <w:szCs w:val="21"/>
              </w:rPr>
            </w:pPr>
            <w:r w:rsidRPr="00600569">
              <w:rPr>
                <w:rFonts w:hint="eastAsia"/>
                <w:szCs w:val="21"/>
              </w:rPr>
              <w:t>0</w:t>
            </w:r>
            <w:r w:rsidRPr="00600569">
              <w:rPr>
                <w:szCs w:val="21"/>
              </w:rPr>
              <w:t>.2958</w:t>
            </w:r>
            <w:r>
              <w:rPr>
                <w:rFonts w:hint="eastAsia"/>
                <w:szCs w:val="21"/>
              </w:rPr>
              <w:t>±0.2734</w:t>
            </w:r>
          </w:p>
        </w:tc>
        <w:tc>
          <w:tcPr>
            <w:tcW w:w="1559" w:type="dxa"/>
            <w:tcBorders>
              <w:top w:val="single" w:sz="8" w:space="0" w:color="auto"/>
              <w:bottom w:val="nil"/>
            </w:tcBorders>
          </w:tcPr>
          <w:p w14:paraId="4A39DFB0" w14:textId="77777777" w:rsidR="00764EA7" w:rsidRPr="00600569" w:rsidRDefault="00764EA7" w:rsidP="00714FB3">
            <w:pPr>
              <w:spacing w:line="100" w:lineRule="atLeast"/>
              <w:jc w:val="center"/>
              <w:rPr>
                <w:szCs w:val="21"/>
              </w:rPr>
            </w:pPr>
            <w:r>
              <w:rPr>
                <w:rFonts w:hint="eastAsia"/>
                <w:szCs w:val="21"/>
              </w:rPr>
              <w:t>0.1449±0.1744</w:t>
            </w:r>
          </w:p>
        </w:tc>
        <w:tc>
          <w:tcPr>
            <w:tcW w:w="2268" w:type="dxa"/>
            <w:tcBorders>
              <w:top w:val="single" w:sz="8" w:space="0" w:color="auto"/>
              <w:bottom w:val="nil"/>
            </w:tcBorders>
          </w:tcPr>
          <w:p w14:paraId="29475175" w14:textId="77777777" w:rsidR="00764EA7" w:rsidRPr="00600569" w:rsidRDefault="00764EA7" w:rsidP="00714FB3">
            <w:pPr>
              <w:spacing w:line="100" w:lineRule="atLeast"/>
              <w:jc w:val="center"/>
              <w:rPr>
                <w:szCs w:val="21"/>
              </w:rPr>
            </w:pPr>
            <w:r>
              <w:rPr>
                <w:rFonts w:hint="eastAsia"/>
                <w:szCs w:val="21"/>
              </w:rPr>
              <w:t>0</w:t>
            </w:r>
            <w:r>
              <w:rPr>
                <w:szCs w:val="21"/>
              </w:rPr>
              <w:t>.1509</w:t>
            </w:r>
            <w:r>
              <w:rPr>
                <w:rFonts w:hint="eastAsia"/>
                <w:szCs w:val="21"/>
              </w:rPr>
              <w:t>±0</w:t>
            </w:r>
            <w:r>
              <w:rPr>
                <w:szCs w:val="21"/>
              </w:rPr>
              <w:t>.2383</w:t>
            </w:r>
          </w:p>
        </w:tc>
        <w:tc>
          <w:tcPr>
            <w:tcW w:w="1350" w:type="dxa"/>
            <w:gridSpan w:val="2"/>
            <w:tcBorders>
              <w:top w:val="single" w:sz="8" w:space="0" w:color="auto"/>
              <w:bottom w:val="nil"/>
            </w:tcBorders>
          </w:tcPr>
          <w:p w14:paraId="300CCC46" w14:textId="77777777" w:rsidR="00764EA7" w:rsidRPr="00600569" w:rsidRDefault="00764EA7" w:rsidP="00714FB3">
            <w:pPr>
              <w:spacing w:line="100" w:lineRule="atLeast"/>
              <w:jc w:val="center"/>
              <w:rPr>
                <w:szCs w:val="21"/>
              </w:rPr>
            </w:pPr>
            <w:r>
              <w:rPr>
                <w:rFonts w:hint="eastAsia"/>
                <w:szCs w:val="21"/>
              </w:rPr>
              <w:t>1</w:t>
            </w:r>
            <w:r>
              <w:rPr>
                <w:szCs w:val="21"/>
              </w:rPr>
              <w:t>.1</w:t>
            </w:r>
            <w:r>
              <w:rPr>
                <w:rFonts w:hint="eastAsia"/>
                <w:szCs w:val="21"/>
              </w:rPr>
              <w:t>×10</w:t>
            </w:r>
            <w:r w:rsidRPr="00D04744">
              <w:rPr>
                <w:szCs w:val="21"/>
                <w:vertAlign w:val="superscript"/>
              </w:rPr>
              <w:t>-14</w:t>
            </w:r>
          </w:p>
        </w:tc>
      </w:tr>
      <w:tr w:rsidR="00764EA7" w14:paraId="7D76A5C6" w14:textId="77777777" w:rsidTr="00714FB3">
        <w:trPr>
          <w:trHeight w:hRule="exact" w:val="454"/>
        </w:trPr>
        <w:tc>
          <w:tcPr>
            <w:tcW w:w="1418" w:type="dxa"/>
            <w:tcBorders>
              <w:top w:val="nil"/>
              <w:bottom w:val="single" w:sz="12" w:space="0" w:color="auto"/>
            </w:tcBorders>
          </w:tcPr>
          <w:p w14:paraId="46585B73" w14:textId="77777777" w:rsidR="00764EA7" w:rsidRPr="00600569" w:rsidRDefault="00764EA7" w:rsidP="00714FB3">
            <w:pPr>
              <w:spacing w:line="100" w:lineRule="atLeast"/>
              <w:jc w:val="left"/>
              <w:rPr>
                <w:szCs w:val="21"/>
              </w:rPr>
            </w:pPr>
            <w:r w:rsidRPr="00600569">
              <w:rPr>
                <w:rFonts w:hint="eastAsia"/>
                <w:szCs w:val="21"/>
              </w:rPr>
              <w:t>I</w:t>
            </w:r>
            <w:r w:rsidRPr="00600569">
              <w:rPr>
                <w:szCs w:val="21"/>
              </w:rPr>
              <w:t>II-V</w:t>
            </w:r>
            <w:r>
              <w:rPr>
                <w:szCs w:val="21"/>
              </w:rPr>
              <w:t xml:space="preserve"> (n=45)</w:t>
            </w:r>
          </w:p>
        </w:tc>
        <w:tc>
          <w:tcPr>
            <w:tcW w:w="1701" w:type="dxa"/>
            <w:tcBorders>
              <w:top w:val="nil"/>
              <w:bottom w:val="single" w:sz="12" w:space="0" w:color="auto"/>
            </w:tcBorders>
          </w:tcPr>
          <w:p w14:paraId="46B93001" w14:textId="77777777" w:rsidR="00764EA7" w:rsidRPr="00600569" w:rsidRDefault="00764EA7" w:rsidP="00714FB3">
            <w:pPr>
              <w:spacing w:line="100" w:lineRule="atLeast"/>
              <w:jc w:val="center"/>
              <w:rPr>
                <w:szCs w:val="21"/>
              </w:rPr>
            </w:pPr>
            <w:r>
              <w:rPr>
                <w:rFonts w:hint="eastAsia"/>
                <w:szCs w:val="21"/>
              </w:rPr>
              <w:t>0.7933±0.5126</w:t>
            </w:r>
          </w:p>
        </w:tc>
        <w:tc>
          <w:tcPr>
            <w:tcW w:w="1559" w:type="dxa"/>
            <w:tcBorders>
              <w:top w:val="nil"/>
              <w:bottom w:val="single" w:sz="12" w:space="0" w:color="auto"/>
            </w:tcBorders>
          </w:tcPr>
          <w:p w14:paraId="49737F6A" w14:textId="77777777" w:rsidR="00764EA7" w:rsidRPr="00600569" w:rsidRDefault="00764EA7" w:rsidP="00714FB3">
            <w:pPr>
              <w:spacing w:line="100" w:lineRule="atLeast"/>
              <w:jc w:val="center"/>
              <w:rPr>
                <w:szCs w:val="21"/>
              </w:rPr>
            </w:pPr>
            <w:r>
              <w:rPr>
                <w:rFonts w:hint="eastAsia"/>
                <w:szCs w:val="21"/>
              </w:rPr>
              <w:t>0.1619±0.2505</w:t>
            </w:r>
          </w:p>
        </w:tc>
        <w:tc>
          <w:tcPr>
            <w:tcW w:w="2268" w:type="dxa"/>
            <w:tcBorders>
              <w:top w:val="nil"/>
              <w:bottom w:val="single" w:sz="12" w:space="0" w:color="auto"/>
            </w:tcBorders>
          </w:tcPr>
          <w:p w14:paraId="6EEBD24F" w14:textId="77777777" w:rsidR="00764EA7" w:rsidRPr="00600569" w:rsidRDefault="00764EA7" w:rsidP="00714FB3">
            <w:pPr>
              <w:spacing w:line="100" w:lineRule="atLeast"/>
              <w:jc w:val="center"/>
              <w:rPr>
                <w:szCs w:val="21"/>
              </w:rPr>
            </w:pPr>
            <w:r>
              <w:rPr>
                <w:rFonts w:hint="eastAsia"/>
                <w:szCs w:val="21"/>
              </w:rPr>
              <w:t>0</w:t>
            </w:r>
            <w:r>
              <w:rPr>
                <w:szCs w:val="21"/>
              </w:rPr>
              <w:t>.6314</w:t>
            </w:r>
            <w:r>
              <w:rPr>
                <w:rFonts w:hint="eastAsia"/>
                <w:szCs w:val="21"/>
              </w:rPr>
              <w:t>±0</w:t>
            </w:r>
            <w:r>
              <w:rPr>
                <w:szCs w:val="21"/>
              </w:rPr>
              <w:t>.4874</w:t>
            </w:r>
          </w:p>
        </w:tc>
        <w:tc>
          <w:tcPr>
            <w:tcW w:w="1350" w:type="dxa"/>
            <w:gridSpan w:val="2"/>
            <w:tcBorders>
              <w:top w:val="nil"/>
              <w:bottom w:val="single" w:sz="12" w:space="0" w:color="auto"/>
            </w:tcBorders>
          </w:tcPr>
          <w:p w14:paraId="67F00181" w14:textId="77777777" w:rsidR="00764EA7" w:rsidRPr="00600569" w:rsidRDefault="00764EA7" w:rsidP="00714FB3">
            <w:pPr>
              <w:spacing w:line="100" w:lineRule="atLeast"/>
              <w:jc w:val="center"/>
              <w:rPr>
                <w:szCs w:val="21"/>
              </w:rPr>
            </w:pPr>
            <w:r>
              <w:rPr>
                <w:rFonts w:hint="eastAsia"/>
                <w:szCs w:val="21"/>
              </w:rPr>
              <w:t>4</w:t>
            </w:r>
            <w:r>
              <w:rPr>
                <w:szCs w:val="21"/>
              </w:rPr>
              <w:t>.2</w:t>
            </w:r>
            <w:r>
              <w:rPr>
                <w:rFonts w:hint="eastAsia"/>
                <w:szCs w:val="21"/>
              </w:rPr>
              <w:t>×10</w:t>
            </w:r>
            <w:r w:rsidRPr="00D04744">
              <w:rPr>
                <w:szCs w:val="21"/>
                <w:vertAlign w:val="superscript"/>
              </w:rPr>
              <w:t>-11</w:t>
            </w:r>
          </w:p>
        </w:tc>
      </w:tr>
    </w:tbl>
    <w:p w14:paraId="54B62573" w14:textId="55C0E36C" w:rsidR="003E111D" w:rsidRDefault="003E111D" w:rsidP="003E111D">
      <w:pPr>
        <w:spacing w:line="360" w:lineRule="auto"/>
        <w:rPr>
          <w:rFonts w:ascii="Times New Roman" w:hAnsi="Times New Roman"/>
          <w:sz w:val="18"/>
          <w:szCs w:val="18"/>
        </w:rPr>
      </w:pPr>
      <w:r w:rsidRPr="00E651AF">
        <w:rPr>
          <w:rFonts w:ascii="Times New Roman" w:hAnsi="Times New Roman"/>
          <w:sz w:val="18"/>
          <w:szCs w:val="18"/>
        </w:rPr>
        <w:t>All</w:t>
      </w:r>
      <w:r>
        <w:rPr>
          <w:rFonts w:ascii="Times New Roman" w:hAnsi="Times New Roman"/>
          <w:sz w:val="18"/>
          <w:szCs w:val="18"/>
        </w:rPr>
        <w:t xml:space="preserve"> </w:t>
      </w:r>
      <w:r w:rsidRPr="00E651AF">
        <w:rPr>
          <w:rFonts w:ascii="Times New Roman" w:hAnsi="Times New Roman"/>
          <w:sz w:val="18"/>
          <w:szCs w:val="18"/>
        </w:rPr>
        <w:t>statistical</w:t>
      </w:r>
      <w:r>
        <w:rPr>
          <w:rFonts w:ascii="Times New Roman" w:hAnsi="Times New Roman"/>
          <w:sz w:val="18"/>
          <w:szCs w:val="18"/>
        </w:rPr>
        <w:t xml:space="preserve"> </w:t>
      </w:r>
      <w:r w:rsidRPr="00E651AF">
        <w:rPr>
          <w:rFonts w:ascii="Times New Roman" w:hAnsi="Times New Roman"/>
          <w:sz w:val="18"/>
          <w:szCs w:val="18"/>
        </w:rPr>
        <w:t>analyses</w:t>
      </w:r>
      <w:r>
        <w:rPr>
          <w:rFonts w:ascii="Times New Roman" w:hAnsi="Times New Roman"/>
          <w:sz w:val="18"/>
          <w:szCs w:val="18"/>
        </w:rPr>
        <w:t xml:space="preserve"> </w:t>
      </w:r>
      <w:r w:rsidRPr="00E651AF">
        <w:rPr>
          <w:rFonts w:ascii="Times New Roman" w:hAnsi="Times New Roman"/>
          <w:sz w:val="18"/>
          <w:szCs w:val="18"/>
        </w:rPr>
        <w:t>were</w:t>
      </w:r>
      <w:r>
        <w:rPr>
          <w:rFonts w:ascii="Times New Roman" w:hAnsi="Times New Roman"/>
          <w:sz w:val="18"/>
          <w:szCs w:val="18"/>
        </w:rPr>
        <w:t xml:space="preserve"> </w:t>
      </w:r>
      <w:r w:rsidRPr="00E651AF">
        <w:rPr>
          <w:rFonts w:ascii="Times New Roman" w:hAnsi="Times New Roman"/>
          <w:sz w:val="18"/>
          <w:szCs w:val="18"/>
        </w:rPr>
        <w:t>performed</w:t>
      </w:r>
      <w:r>
        <w:rPr>
          <w:rFonts w:ascii="Times New Roman" w:hAnsi="Times New Roman"/>
          <w:sz w:val="18"/>
          <w:szCs w:val="18"/>
        </w:rPr>
        <w:t xml:space="preserve"> </w:t>
      </w:r>
      <w:r w:rsidRPr="00E651AF">
        <w:rPr>
          <w:rFonts w:ascii="Times New Roman" w:hAnsi="Times New Roman"/>
          <w:sz w:val="18"/>
          <w:szCs w:val="18"/>
        </w:rPr>
        <w:t>using</w:t>
      </w:r>
      <w:r>
        <w:rPr>
          <w:rFonts w:ascii="Times New Roman" w:hAnsi="Times New Roman"/>
          <w:sz w:val="18"/>
          <w:szCs w:val="18"/>
        </w:rPr>
        <w:t xml:space="preserve"> </w:t>
      </w:r>
      <w:r w:rsidRPr="00E651AF">
        <w:rPr>
          <w:rFonts w:ascii="Times New Roman" w:hAnsi="Times New Roman"/>
          <w:sz w:val="18"/>
          <w:szCs w:val="18"/>
        </w:rPr>
        <w:t>R,</w:t>
      </w:r>
      <w:r>
        <w:rPr>
          <w:rFonts w:ascii="Times New Roman" w:hAnsi="Times New Roman"/>
          <w:sz w:val="18"/>
          <w:szCs w:val="18"/>
        </w:rPr>
        <w:t xml:space="preserve"> </w:t>
      </w:r>
      <w:r w:rsidRPr="00E651AF">
        <w:rPr>
          <w:rFonts w:ascii="Times New Roman" w:hAnsi="Times New Roman"/>
          <w:sz w:val="18"/>
          <w:szCs w:val="18"/>
        </w:rPr>
        <w:t>version</w:t>
      </w:r>
      <w:r>
        <w:rPr>
          <w:rFonts w:ascii="Times New Roman" w:hAnsi="Times New Roman"/>
          <w:sz w:val="18"/>
          <w:szCs w:val="18"/>
        </w:rPr>
        <w:t xml:space="preserve"> </w:t>
      </w:r>
      <w:r w:rsidRPr="00E651AF">
        <w:rPr>
          <w:rFonts w:ascii="Times New Roman" w:hAnsi="Times New Roman"/>
          <w:sz w:val="18"/>
          <w:szCs w:val="18"/>
        </w:rPr>
        <w:t>3.5.3.</w:t>
      </w:r>
      <w:r>
        <w:rPr>
          <w:rFonts w:ascii="Times New Roman" w:hAnsi="Times New Roman"/>
          <w:sz w:val="18"/>
          <w:szCs w:val="18"/>
        </w:rPr>
        <w:t xml:space="preserve"> ACR (before) indicates </w:t>
      </w:r>
      <w:r w:rsidRPr="00CB0B2F">
        <w:rPr>
          <w:rFonts w:ascii="Times New Roman" w:hAnsi="Times New Roman"/>
          <w:sz w:val="18"/>
          <w:szCs w:val="18"/>
        </w:rPr>
        <w:t>that</w:t>
      </w:r>
      <w:r>
        <w:rPr>
          <w:rFonts w:ascii="Times New Roman" w:hAnsi="Times New Roman"/>
          <w:sz w:val="18"/>
          <w:szCs w:val="18"/>
        </w:rPr>
        <w:t xml:space="preserve"> </w:t>
      </w:r>
      <w:r w:rsidRPr="00CB0B2F">
        <w:rPr>
          <w:rFonts w:ascii="Times New Roman" w:hAnsi="Times New Roman"/>
          <w:sz w:val="18"/>
          <w:szCs w:val="18"/>
        </w:rPr>
        <w:t>urinary</w:t>
      </w:r>
      <w:r>
        <w:rPr>
          <w:rFonts w:ascii="Times New Roman" w:hAnsi="Times New Roman"/>
          <w:sz w:val="18"/>
          <w:szCs w:val="18"/>
        </w:rPr>
        <w:t xml:space="preserve"> </w:t>
      </w:r>
      <w:r w:rsidRPr="00CB0B2F">
        <w:rPr>
          <w:rFonts w:ascii="Times New Roman" w:hAnsi="Times New Roman"/>
          <w:sz w:val="18"/>
          <w:szCs w:val="18"/>
        </w:rPr>
        <w:t>ACR</w:t>
      </w:r>
      <w:r>
        <w:rPr>
          <w:rFonts w:ascii="Times New Roman" w:hAnsi="Times New Roman"/>
          <w:sz w:val="18"/>
          <w:szCs w:val="18"/>
        </w:rPr>
        <w:t xml:space="preserve"> </w:t>
      </w:r>
      <w:r w:rsidRPr="00CB0B2F">
        <w:rPr>
          <w:rFonts w:ascii="Times New Roman" w:hAnsi="Times New Roman"/>
          <w:sz w:val="18"/>
          <w:szCs w:val="18"/>
        </w:rPr>
        <w:t>w</w:t>
      </w:r>
      <w:r>
        <w:rPr>
          <w:rFonts w:ascii="Times New Roman" w:hAnsi="Times New Roman"/>
          <w:sz w:val="18"/>
          <w:szCs w:val="18"/>
        </w:rPr>
        <w:t xml:space="preserve">as </w:t>
      </w:r>
      <w:r w:rsidRPr="00CB0B2F">
        <w:rPr>
          <w:rFonts w:ascii="Times New Roman" w:hAnsi="Times New Roman"/>
          <w:sz w:val="18"/>
          <w:szCs w:val="18"/>
        </w:rPr>
        <w:t>tested</w:t>
      </w:r>
      <w:r>
        <w:rPr>
          <w:rFonts w:ascii="Times New Roman" w:hAnsi="Times New Roman"/>
          <w:sz w:val="18"/>
          <w:szCs w:val="18"/>
        </w:rPr>
        <w:t xml:space="preserve"> </w:t>
      </w:r>
      <w:r w:rsidRPr="00CB0B2F">
        <w:rPr>
          <w:rFonts w:ascii="Times New Roman" w:hAnsi="Times New Roman"/>
          <w:sz w:val="18"/>
          <w:szCs w:val="18"/>
        </w:rPr>
        <w:t>before</w:t>
      </w:r>
      <w:r>
        <w:rPr>
          <w:rFonts w:ascii="Times New Roman" w:hAnsi="Times New Roman"/>
          <w:sz w:val="18"/>
          <w:szCs w:val="18"/>
        </w:rPr>
        <w:t xml:space="preserve"> HSPN </w:t>
      </w:r>
      <w:r w:rsidRPr="00CB0B2F">
        <w:rPr>
          <w:rFonts w:ascii="Times New Roman" w:hAnsi="Times New Roman"/>
          <w:sz w:val="18"/>
          <w:szCs w:val="18"/>
        </w:rPr>
        <w:t>patients</w:t>
      </w:r>
      <w:r>
        <w:rPr>
          <w:rFonts w:ascii="Times New Roman" w:hAnsi="Times New Roman"/>
          <w:sz w:val="18"/>
          <w:szCs w:val="18"/>
        </w:rPr>
        <w:t xml:space="preserve"> underwent biopsy</w:t>
      </w:r>
      <w:r w:rsidRPr="00CB0B2F">
        <w:rPr>
          <w:rFonts w:ascii="Times New Roman" w:hAnsi="Times New Roman"/>
          <w:sz w:val="18"/>
          <w:szCs w:val="18"/>
        </w:rPr>
        <w:t>,</w:t>
      </w:r>
      <w:r>
        <w:rPr>
          <w:rFonts w:ascii="Times New Roman" w:hAnsi="Times New Roman"/>
          <w:sz w:val="18"/>
          <w:szCs w:val="18"/>
        </w:rPr>
        <w:t xml:space="preserve"> and ACR (after) indicates </w:t>
      </w:r>
      <w:r w:rsidRPr="00CB0B2F">
        <w:rPr>
          <w:rFonts w:ascii="Times New Roman" w:hAnsi="Times New Roman"/>
          <w:sz w:val="18"/>
          <w:szCs w:val="18"/>
        </w:rPr>
        <w:t>that</w:t>
      </w:r>
      <w:r>
        <w:rPr>
          <w:rFonts w:ascii="Times New Roman" w:hAnsi="Times New Roman"/>
          <w:sz w:val="18"/>
          <w:szCs w:val="18"/>
        </w:rPr>
        <w:t xml:space="preserve"> </w:t>
      </w:r>
      <w:r w:rsidRPr="00CB0B2F">
        <w:rPr>
          <w:rFonts w:ascii="Times New Roman" w:hAnsi="Times New Roman"/>
          <w:sz w:val="18"/>
          <w:szCs w:val="18"/>
        </w:rPr>
        <w:t>urinary</w:t>
      </w:r>
      <w:r>
        <w:rPr>
          <w:rFonts w:ascii="Times New Roman" w:hAnsi="Times New Roman"/>
          <w:sz w:val="18"/>
          <w:szCs w:val="18"/>
        </w:rPr>
        <w:t xml:space="preserve"> </w:t>
      </w:r>
      <w:r w:rsidRPr="00CB0B2F">
        <w:rPr>
          <w:rFonts w:ascii="Times New Roman" w:hAnsi="Times New Roman"/>
          <w:sz w:val="18"/>
          <w:szCs w:val="18"/>
        </w:rPr>
        <w:t>ACR</w:t>
      </w:r>
      <w:r>
        <w:rPr>
          <w:rFonts w:ascii="Times New Roman" w:hAnsi="Times New Roman"/>
          <w:sz w:val="18"/>
          <w:szCs w:val="18"/>
        </w:rPr>
        <w:t xml:space="preserve"> </w:t>
      </w:r>
      <w:r w:rsidRPr="00CB0B2F">
        <w:rPr>
          <w:rFonts w:ascii="Times New Roman" w:hAnsi="Times New Roman"/>
          <w:sz w:val="18"/>
          <w:szCs w:val="18"/>
        </w:rPr>
        <w:t>w</w:t>
      </w:r>
      <w:r>
        <w:rPr>
          <w:rFonts w:ascii="Times New Roman" w:hAnsi="Times New Roman"/>
          <w:sz w:val="18"/>
          <w:szCs w:val="18"/>
        </w:rPr>
        <w:t xml:space="preserve">as </w:t>
      </w:r>
      <w:r w:rsidRPr="00CB0B2F">
        <w:rPr>
          <w:rFonts w:ascii="Times New Roman" w:hAnsi="Times New Roman"/>
          <w:sz w:val="18"/>
          <w:szCs w:val="18"/>
        </w:rPr>
        <w:t>tested</w:t>
      </w:r>
      <w:r>
        <w:rPr>
          <w:rFonts w:ascii="Times New Roman" w:hAnsi="Times New Roman"/>
          <w:sz w:val="18"/>
          <w:szCs w:val="18"/>
        </w:rPr>
        <w:t xml:space="preserve"> </w:t>
      </w:r>
      <w:r w:rsidRPr="00CB0B2F">
        <w:rPr>
          <w:rFonts w:ascii="Times New Roman" w:hAnsi="Times New Roman"/>
          <w:sz w:val="18"/>
          <w:szCs w:val="18"/>
        </w:rPr>
        <w:t>after</w:t>
      </w:r>
      <w:r>
        <w:rPr>
          <w:rFonts w:ascii="Times New Roman" w:hAnsi="Times New Roman"/>
          <w:sz w:val="18"/>
          <w:szCs w:val="18"/>
        </w:rPr>
        <w:t xml:space="preserve"> </w:t>
      </w:r>
      <w:r w:rsidRPr="00CB0B2F">
        <w:rPr>
          <w:rFonts w:ascii="Times New Roman" w:hAnsi="Times New Roman"/>
          <w:sz w:val="18"/>
          <w:szCs w:val="18"/>
        </w:rPr>
        <w:t>active</w:t>
      </w:r>
      <w:r>
        <w:rPr>
          <w:rFonts w:ascii="Times New Roman" w:hAnsi="Times New Roman"/>
          <w:sz w:val="18"/>
          <w:szCs w:val="18"/>
        </w:rPr>
        <w:t xml:space="preserve"> and normative </w:t>
      </w:r>
      <w:r w:rsidRPr="00CB0B2F">
        <w:rPr>
          <w:rFonts w:ascii="Times New Roman" w:hAnsi="Times New Roman"/>
          <w:sz w:val="18"/>
          <w:szCs w:val="18"/>
        </w:rPr>
        <w:t>treatment</w:t>
      </w:r>
      <w:r>
        <w:rPr>
          <w:rFonts w:ascii="Times New Roman" w:hAnsi="Times New Roman"/>
          <w:sz w:val="18"/>
          <w:szCs w:val="18"/>
        </w:rPr>
        <w:t xml:space="preserve">. ACR </w:t>
      </w:r>
      <w:r w:rsidRPr="0004244C">
        <w:rPr>
          <w:rFonts w:ascii="Times New Roman" w:hAnsi="Times New Roman"/>
          <w:sz w:val="18"/>
          <w:szCs w:val="18"/>
        </w:rPr>
        <w:t>(before)-ACR</w:t>
      </w:r>
      <w:r>
        <w:rPr>
          <w:rFonts w:ascii="Times New Roman" w:hAnsi="Times New Roman"/>
          <w:sz w:val="18"/>
          <w:szCs w:val="18"/>
        </w:rPr>
        <w:t xml:space="preserve"> </w:t>
      </w:r>
      <w:r w:rsidRPr="0004244C">
        <w:rPr>
          <w:rFonts w:ascii="Times New Roman" w:hAnsi="Times New Roman"/>
          <w:sz w:val="18"/>
          <w:szCs w:val="18"/>
        </w:rPr>
        <w:t>(after)</w:t>
      </w:r>
      <w:r>
        <w:rPr>
          <w:rFonts w:ascii="Times New Roman" w:hAnsi="Times New Roman"/>
          <w:sz w:val="18"/>
          <w:szCs w:val="18"/>
        </w:rPr>
        <w:t xml:space="preserve"> represents the matched </w:t>
      </w:r>
      <w:r w:rsidRPr="0004244C">
        <w:rPr>
          <w:rFonts w:ascii="Times New Roman" w:hAnsi="Times New Roman"/>
          <w:i/>
          <w:iCs/>
          <w:sz w:val="18"/>
          <w:szCs w:val="18"/>
        </w:rPr>
        <w:t>t</w:t>
      </w:r>
      <w:r>
        <w:rPr>
          <w:rFonts w:ascii="Times New Roman" w:hAnsi="Times New Roman"/>
          <w:sz w:val="18"/>
          <w:szCs w:val="18"/>
        </w:rPr>
        <w:t>-test differences.</w:t>
      </w:r>
    </w:p>
    <w:p w14:paraId="75675CE4" w14:textId="6A0B7A4A" w:rsidR="00DD639F" w:rsidRPr="003E111D" w:rsidRDefault="00DD639F" w:rsidP="003E111D">
      <w:pPr>
        <w:spacing w:line="100" w:lineRule="atLeast"/>
        <w:ind w:left="210" w:hangingChars="100" w:hanging="210"/>
        <w:jc w:val="center"/>
      </w:pPr>
      <w:bookmarkStart w:id="2" w:name="_GoBack"/>
      <w:bookmarkEnd w:id="2"/>
    </w:p>
    <w:sectPr w:rsidR="00DD639F" w:rsidRPr="003E11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0DFEA" w14:textId="77777777" w:rsidR="00C11FE7" w:rsidRDefault="00C11FE7" w:rsidP="00764EA7">
      <w:r>
        <w:separator/>
      </w:r>
    </w:p>
  </w:endnote>
  <w:endnote w:type="continuationSeparator" w:id="0">
    <w:p w14:paraId="7ED5EDF3" w14:textId="77777777" w:rsidR="00C11FE7" w:rsidRDefault="00C11FE7" w:rsidP="0076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2779C" w14:textId="77777777" w:rsidR="00C11FE7" w:rsidRDefault="00C11FE7" w:rsidP="00764EA7">
      <w:r>
        <w:separator/>
      </w:r>
    </w:p>
  </w:footnote>
  <w:footnote w:type="continuationSeparator" w:id="0">
    <w:p w14:paraId="44223265" w14:textId="77777777" w:rsidR="00C11FE7" w:rsidRDefault="00C11FE7" w:rsidP="00764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2D"/>
    <w:rsid w:val="00063C8E"/>
    <w:rsid w:val="000D401F"/>
    <w:rsid w:val="003E111D"/>
    <w:rsid w:val="00631B2D"/>
    <w:rsid w:val="00764EA7"/>
    <w:rsid w:val="009E00CE"/>
    <w:rsid w:val="00A238B5"/>
    <w:rsid w:val="00C11FE7"/>
    <w:rsid w:val="00DD639F"/>
    <w:rsid w:val="00DE1687"/>
    <w:rsid w:val="00E15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6B130"/>
  <w15:chartTrackingRefBased/>
  <w15:docId w15:val="{84A449CD-7CFE-4DAE-AB7E-A111A1C5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E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E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4EA7"/>
    <w:rPr>
      <w:sz w:val="18"/>
      <w:szCs w:val="18"/>
    </w:rPr>
  </w:style>
  <w:style w:type="paragraph" w:styleId="a5">
    <w:name w:val="footer"/>
    <w:basedOn w:val="a"/>
    <w:link w:val="a6"/>
    <w:uiPriority w:val="99"/>
    <w:unhideWhenUsed/>
    <w:rsid w:val="00764EA7"/>
    <w:pPr>
      <w:tabs>
        <w:tab w:val="center" w:pos="4153"/>
        <w:tab w:val="right" w:pos="8306"/>
      </w:tabs>
      <w:snapToGrid w:val="0"/>
      <w:jc w:val="left"/>
    </w:pPr>
    <w:rPr>
      <w:sz w:val="18"/>
      <w:szCs w:val="18"/>
    </w:rPr>
  </w:style>
  <w:style w:type="character" w:customStyle="1" w:styleId="a6">
    <w:name w:val="页脚 字符"/>
    <w:basedOn w:val="a0"/>
    <w:link w:val="a5"/>
    <w:uiPriority w:val="99"/>
    <w:rsid w:val="00764EA7"/>
    <w:rPr>
      <w:sz w:val="18"/>
      <w:szCs w:val="18"/>
    </w:rPr>
  </w:style>
  <w:style w:type="table" w:styleId="a7">
    <w:name w:val="Table Grid"/>
    <w:basedOn w:val="a1"/>
    <w:uiPriority w:val="39"/>
    <w:rsid w:val="00764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111D"/>
    <w:rPr>
      <w:sz w:val="18"/>
      <w:szCs w:val="18"/>
    </w:rPr>
  </w:style>
  <w:style w:type="character" w:customStyle="1" w:styleId="a9">
    <w:name w:val="批注框文本 字符"/>
    <w:basedOn w:val="a0"/>
    <w:link w:val="a8"/>
    <w:uiPriority w:val="99"/>
    <w:semiHidden/>
    <w:rsid w:val="003E111D"/>
    <w:rPr>
      <w:sz w:val="18"/>
      <w:szCs w:val="18"/>
    </w:rPr>
  </w:style>
  <w:style w:type="character" w:styleId="aa">
    <w:name w:val="annotation reference"/>
    <w:basedOn w:val="a0"/>
    <w:uiPriority w:val="99"/>
    <w:semiHidden/>
    <w:unhideWhenUsed/>
    <w:rsid w:val="003E111D"/>
    <w:rPr>
      <w:sz w:val="16"/>
      <w:szCs w:val="16"/>
    </w:rPr>
  </w:style>
  <w:style w:type="paragraph" w:styleId="ab">
    <w:name w:val="annotation text"/>
    <w:basedOn w:val="a"/>
    <w:link w:val="ac"/>
    <w:uiPriority w:val="99"/>
    <w:semiHidden/>
    <w:unhideWhenUsed/>
    <w:rsid w:val="003E111D"/>
    <w:rPr>
      <w:sz w:val="20"/>
      <w:szCs w:val="20"/>
    </w:rPr>
  </w:style>
  <w:style w:type="character" w:customStyle="1" w:styleId="ac">
    <w:name w:val="批注文字 字符"/>
    <w:basedOn w:val="a0"/>
    <w:link w:val="ab"/>
    <w:uiPriority w:val="99"/>
    <w:semiHidden/>
    <w:rsid w:val="003E11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yongrui</dc:creator>
  <cp:keywords/>
  <dc:description/>
  <cp:lastModifiedBy>song yongrui</cp:lastModifiedBy>
  <cp:revision>6</cp:revision>
  <dcterms:created xsi:type="dcterms:W3CDTF">2020-07-20T15:30:00Z</dcterms:created>
  <dcterms:modified xsi:type="dcterms:W3CDTF">2020-07-30T07:12:00Z</dcterms:modified>
</cp:coreProperties>
</file>