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8C2F" w14:textId="505F3B22" w:rsidR="0088583A" w:rsidRDefault="0067639F" w:rsidP="00AD713B">
      <w:pPr>
        <w:spacing w:line="480" w:lineRule="auto"/>
        <w:jc w:val="center"/>
        <w:rPr>
          <w:rFonts w:ascii="Arial" w:hAnsi="Arial" w:cs="Arial" w:hint="eastAsia"/>
          <w:b/>
          <w:bCs/>
          <w:sz w:val="20"/>
          <w:szCs w:val="20"/>
        </w:rPr>
      </w:pPr>
      <w:r>
        <w:rPr>
          <w:rFonts w:ascii="Arial" w:hAnsi="Arial" w:cs="Arial"/>
          <w:b/>
          <w:sz w:val="20"/>
          <w:szCs w:val="20"/>
        </w:rPr>
        <w:t>Additional file 1</w:t>
      </w:r>
    </w:p>
    <w:p w14:paraId="139CD380" w14:textId="77777777" w:rsidR="0088583A" w:rsidRDefault="0067639F" w:rsidP="00026136">
      <w:pPr>
        <w:spacing w:line="480" w:lineRule="auto"/>
        <w:jc w:val="left"/>
        <w:rPr>
          <w:rFonts w:ascii="Arial" w:hAnsi="Arial" w:cs="Arial"/>
          <w:b/>
          <w:sz w:val="20"/>
          <w:szCs w:val="20"/>
        </w:rPr>
      </w:pPr>
      <w:bookmarkStart w:id="0" w:name="_Hlk38532047"/>
      <w:r>
        <w:rPr>
          <w:rFonts w:ascii="Arial" w:hAnsi="Arial" w:cs="Arial"/>
          <w:b/>
          <w:bCs/>
          <w:sz w:val="20"/>
          <w:szCs w:val="20"/>
        </w:rPr>
        <w:t xml:space="preserve">Materials and </w:t>
      </w:r>
      <w:r>
        <w:rPr>
          <w:rFonts w:ascii="Arial" w:hAnsi="Arial" w:cs="Arial" w:hint="eastAsia"/>
          <w:b/>
          <w:bCs/>
          <w:sz w:val="20"/>
          <w:szCs w:val="20"/>
        </w:rPr>
        <w:t>m</w:t>
      </w:r>
      <w:r>
        <w:rPr>
          <w:rFonts w:ascii="Arial" w:hAnsi="Arial" w:cs="Arial"/>
          <w:b/>
          <w:bCs/>
          <w:sz w:val="20"/>
          <w:szCs w:val="20"/>
        </w:rPr>
        <w:t>ethods</w:t>
      </w:r>
    </w:p>
    <w:bookmarkEnd w:id="0"/>
    <w:p w14:paraId="026A829C" w14:textId="77777777" w:rsidR="0088583A" w:rsidRDefault="0067639F" w:rsidP="00026136">
      <w:pPr>
        <w:spacing w:line="480" w:lineRule="auto"/>
        <w:jc w:val="left"/>
        <w:rPr>
          <w:rFonts w:ascii="Arial" w:hAnsi="Arial" w:cs="Arial"/>
          <w:b/>
          <w:sz w:val="20"/>
          <w:szCs w:val="20"/>
        </w:rPr>
      </w:pPr>
      <w:r>
        <w:rPr>
          <w:rFonts w:ascii="Arial" w:hAnsi="Arial" w:cs="Arial"/>
          <w:b/>
          <w:sz w:val="20"/>
          <w:szCs w:val="20"/>
        </w:rPr>
        <w:t xml:space="preserve">Plasma </w:t>
      </w:r>
      <w:r>
        <w:rPr>
          <w:rFonts w:ascii="Arial" w:hAnsi="Arial" w:cs="Arial" w:hint="eastAsia"/>
          <w:b/>
          <w:sz w:val="20"/>
          <w:szCs w:val="20"/>
        </w:rPr>
        <w:t>s</w:t>
      </w:r>
      <w:r>
        <w:rPr>
          <w:rFonts w:ascii="Arial" w:hAnsi="Arial" w:cs="Arial"/>
          <w:b/>
          <w:sz w:val="20"/>
          <w:szCs w:val="20"/>
        </w:rPr>
        <w:t xml:space="preserve">amples </w:t>
      </w:r>
      <w:r>
        <w:rPr>
          <w:rFonts w:ascii="Arial" w:hAnsi="Arial" w:cs="Arial" w:hint="eastAsia"/>
          <w:b/>
          <w:sz w:val="20"/>
          <w:szCs w:val="20"/>
        </w:rPr>
        <w:t>p</w:t>
      </w:r>
      <w:r>
        <w:rPr>
          <w:rFonts w:ascii="Arial" w:hAnsi="Arial" w:cs="Arial"/>
          <w:b/>
          <w:sz w:val="20"/>
          <w:szCs w:val="20"/>
        </w:rPr>
        <w:t>reparation</w:t>
      </w:r>
    </w:p>
    <w:p w14:paraId="4B215B7C" w14:textId="611A93BA" w:rsidR="0088583A" w:rsidRDefault="0067639F" w:rsidP="00026136">
      <w:pPr>
        <w:spacing w:line="480" w:lineRule="auto"/>
        <w:jc w:val="left"/>
        <w:rPr>
          <w:rFonts w:ascii="Arial" w:hAnsi="Arial" w:cs="Arial"/>
          <w:sz w:val="20"/>
          <w:szCs w:val="20"/>
        </w:rPr>
      </w:pPr>
      <w:r>
        <w:rPr>
          <w:rFonts w:ascii="Arial" w:hAnsi="Arial" w:cs="Arial"/>
          <w:sz w:val="20"/>
          <w:szCs w:val="20"/>
        </w:rPr>
        <w:t>The rats were fasted for 12 h</w:t>
      </w:r>
      <w:r w:rsidR="005301B3">
        <w:rPr>
          <w:rFonts w:ascii="Arial" w:hAnsi="Arial" w:cs="Arial" w:hint="eastAsia"/>
          <w:sz w:val="20"/>
          <w:szCs w:val="20"/>
        </w:rPr>
        <w:t>ours</w:t>
      </w:r>
      <w:r>
        <w:rPr>
          <w:rFonts w:ascii="Arial" w:hAnsi="Arial" w:cs="Arial"/>
          <w:sz w:val="20"/>
          <w:szCs w:val="20"/>
        </w:rPr>
        <w:t>, freed to drink water and activities at the same time. With the implementation of isoflurane inhalation anesthesia, the blood was collected with the EDTAK</w:t>
      </w:r>
      <w:r>
        <w:rPr>
          <w:rFonts w:ascii="Arial" w:hAnsi="Arial" w:cs="Arial"/>
          <w:sz w:val="20"/>
          <w:szCs w:val="20"/>
          <w:vertAlign w:val="subscript"/>
        </w:rPr>
        <w:t>2</w:t>
      </w:r>
      <w:r>
        <w:rPr>
          <w:rFonts w:ascii="Arial" w:hAnsi="Arial" w:cs="Arial"/>
          <w:sz w:val="20"/>
          <w:szCs w:val="20"/>
        </w:rPr>
        <w:t xml:space="preserve"> negative pressure blood collection tube by abdominal aorta blood. After centrifugation at 3500 rpm, 4°C for 15 min, 1 </w:t>
      </w:r>
      <w:r w:rsidR="005301B3">
        <w:rPr>
          <w:rFonts w:ascii="Arial" w:hAnsi="Arial" w:cs="Arial"/>
          <w:sz w:val="20"/>
          <w:szCs w:val="20"/>
        </w:rPr>
        <w:t>ml</w:t>
      </w:r>
      <w:r>
        <w:rPr>
          <w:rFonts w:ascii="Arial" w:hAnsi="Arial" w:cs="Arial"/>
          <w:sz w:val="20"/>
          <w:szCs w:val="20"/>
        </w:rPr>
        <w:t xml:space="preserve"> of the upper layer of yellow plasma was transferred to a cryopreservation tube, and 1 </w:t>
      </w:r>
      <w:r w:rsidR="005301B3">
        <w:rPr>
          <w:rFonts w:ascii="Arial" w:hAnsi="Arial" w:cs="Arial"/>
          <w:sz w:val="20"/>
          <w:szCs w:val="20"/>
        </w:rPr>
        <w:t>ml</w:t>
      </w:r>
      <w:r>
        <w:rPr>
          <w:rFonts w:ascii="Arial" w:hAnsi="Arial" w:cs="Arial"/>
          <w:sz w:val="20"/>
          <w:szCs w:val="20"/>
        </w:rPr>
        <w:t xml:space="preserve"> of DMEM/H</w:t>
      </w:r>
      <w:r>
        <w:rPr>
          <w:rFonts w:ascii="Arial" w:hAnsi="Arial" w:cs="Arial" w:hint="eastAsia"/>
          <w:sz w:val="20"/>
          <w:szCs w:val="20"/>
        </w:rPr>
        <w:t>igh</w:t>
      </w:r>
      <w:r>
        <w:rPr>
          <w:rFonts w:ascii="Arial" w:hAnsi="Arial" w:cs="Arial"/>
          <w:sz w:val="20"/>
          <w:szCs w:val="20"/>
        </w:rPr>
        <w:t xml:space="preserve"> </w:t>
      </w:r>
      <w:r>
        <w:rPr>
          <w:rFonts w:ascii="Arial" w:hAnsi="Arial" w:cs="Arial" w:hint="eastAsia"/>
          <w:sz w:val="20"/>
          <w:szCs w:val="20"/>
        </w:rPr>
        <w:t>glucose</w:t>
      </w:r>
      <w:r>
        <w:rPr>
          <w:rFonts w:ascii="Arial" w:hAnsi="Arial" w:cs="Arial"/>
          <w:sz w:val="20"/>
          <w:szCs w:val="20"/>
        </w:rPr>
        <w:t xml:space="preserve"> buffer was added to shake and mix, and stored in a -80°C refrigerator.</w:t>
      </w:r>
    </w:p>
    <w:p w14:paraId="59BF8275" w14:textId="2F3B58AD" w:rsidR="0088583A" w:rsidRDefault="0067639F" w:rsidP="00026136">
      <w:pPr>
        <w:spacing w:line="480" w:lineRule="auto"/>
        <w:jc w:val="left"/>
        <w:rPr>
          <w:rFonts w:ascii="Arial" w:hAnsi="Arial" w:cs="Arial"/>
          <w:b/>
          <w:sz w:val="20"/>
          <w:szCs w:val="20"/>
        </w:rPr>
      </w:pPr>
      <w:r>
        <w:rPr>
          <w:rFonts w:ascii="Arial" w:hAnsi="Arial" w:cs="Arial"/>
          <w:b/>
          <w:sz w:val="20"/>
          <w:szCs w:val="20"/>
        </w:rPr>
        <w:t xml:space="preserve">TMT </w:t>
      </w:r>
      <w:r>
        <w:rPr>
          <w:rFonts w:ascii="Arial" w:hAnsi="Arial" w:cs="Arial" w:hint="eastAsia"/>
          <w:b/>
          <w:sz w:val="20"/>
          <w:szCs w:val="20"/>
        </w:rPr>
        <w:t>l</w:t>
      </w:r>
      <w:r>
        <w:rPr>
          <w:rFonts w:ascii="Arial" w:hAnsi="Arial" w:cs="Arial"/>
          <w:b/>
          <w:sz w:val="20"/>
          <w:szCs w:val="20"/>
        </w:rPr>
        <w:t xml:space="preserve">abeling and LC-MS/MS </w:t>
      </w:r>
      <w:r>
        <w:rPr>
          <w:rFonts w:ascii="Arial" w:hAnsi="Arial" w:cs="Arial" w:hint="eastAsia"/>
          <w:b/>
          <w:sz w:val="20"/>
          <w:szCs w:val="20"/>
        </w:rPr>
        <w:t>a</w:t>
      </w:r>
      <w:r>
        <w:rPr>
          <w:rFonts w:ascii="Arial" w:hAnsi="Arial" w:cs="Arial"/>
          <w:b/>
          <w:sz w:val="20"/>
          <w:szCs w:val="20"/>
        </w:rPr>
        <w:t>nalysis</w:t>
      </w:r>
    </w:p>
    <w:p w14:paraId="22FCAE41" w14:textId="677EF2DC" w:rsidR="0088583A" w:rsidRDefault="0067639F" w:rsidP="00026136">
      <w:pPr>
        <w:spacing w:line="480" w:lineRule="auto"/>
        <w:jc w:val="left"/>
        <w:rPr>
          <w:rFonts w:ascii="Arial" w:hAnsi="Arial" w:cs="Arial"/>
          <w:sz w:val="20"/>
          <w:szCs w:val="20"/>
        </w:rPr>
      </w:pPr>
      <w:r>
        <w:rPr>
          <w:rFonts w:ascii="Arial" w:hAnsi="Arial" w:cs="Arial"/>
          <w:b/>
          <w:sz w:val="20"/>
          <w:szCs w:val="20"/>
        </w:rPr>
        <w:t xml:space="preserve">Total </w:t>
      </w:r>
      <w:r>
        <w:rPr>
          <w:rFonts w:ascii="Arial" w:hAnsi="Arial" w:cs="Arial" w:hint="eastAsia"/>
          <w:b/>
          <w:sz w:val="20"/>
          <w:szCs w:val="20"/>
        </w:rPr>
        <w:t>p</w:t>
      </w:r>
      <w:r>
        <w:rPr>
          <w:rFonts w:ascii="Arial" w:hAnsi="Arial" w:cs="Arial"/>
          <w:b/>
          <w:sz w:val="20"/>
          <w:szCs w:val="20"/>
        </w:rPr>
        <w:t xml:space="preserve">rotein </w:t>
      </w:r>
      <w:r>
        <w:rPr>
          <w:rFonts w:ascii="Arial" w:hAnsi="Arial" w:cs="Arial" w:hint="eastAsia"/>
          <w:b/>
          <w:sz w:val="20"/>
          <w:szCs w:val="20"/>
        </w:rPr>
        <w:t>e</w:t>
      </w:r>
      <w:r>
        <w:rPr>
          <w:rFonts w:ascii="Arial" w:hAnsi="Arial" w:cs="Arial"/>
          <w:b/>
          <w:sz w:val="20"/>
          <w:szCs w:val="20"/>
        </w:rPr>
        <w:t>xtraction</w:t>
      </w:r>
      <w:r>
        <w:rPr>
          <w:rFonts w:ascii="Arial" w:hAnsi="Arial" w:cs="Arial" w:hint="eastAsia"/>
          <w:b/>
          <w:sz w:val="20"/>
          <w:szCs w:val="20"/>
        </w:rPr>
        <w:t xml:space="preserve">. </w:t>
      </w:r>
      <w:r>
        <w:rPr>
          <w:rFonts w:ascii="Arial" w:hAnsi="Arial" w:cs="Arial"/>
          <w:sz w:val="20"/>
          <w:szCs w:val="20"/>
        </w:rPr>
        <w:t>Samples were individually milled to a pow</w:t>
      </w:r>
      <w:r w:rsidR="00026136">
        <w:rPr>
          <w:rFonts w:ascii="Arial" w:hAnsi="Arial" w:cs="Arial" w:hint="eastAsia"/>
          <w:sz w:val="20"/>
          <w:szCs w:val="20"/>
        </w:rPr>
        <w:t>d</w:t>
      </w:r>
      <w:r>
        <w:rPr>
          <w:rFonts w:ascii="Arial" w:hAnsi="Arial" w:cs="Arial"/>
          <w:sz w:val="20"/>
          <w:szCs w:val="20"/>
        </w:rPr>
        <w:t xml:space="preserve">er in a mortar with liquid nitrogen. Mix the powder with lysis buffer containing 50 mM Tris-HCl (pH=8), 8 M Urea and 0.2% SDS. The homogenate was incubated with ultrasonication on ice for 5 min and then centrifuged at 12000 g for 15 min at 4°C. The supernatant was transferred to a clean tube, and protein concentration was determined </w:t>
      </w:r>
      <w:r w:rsidR="00026136">
        <w:rPr>
          <w:rFonts w:ascii="Arial" w:hAnsi="Arial" w:cs="Arial"/>
          <w:sz w:val="20"/>
          <w:szCs w:val="20"/>
        </w:rPr>
        <w:t>by</w:t>
      </w:r>
      <w:r>
        <w:rPr>
          <w:rFonts w:ascii="Arial" w:hAnsi="Arial" w:cs="Arial"/>
          <w:sz w:val="20"/>
          <w:szCs w:val="20"/>
        </w:rPr>
        <w:t xml:space="preserve"> a Bradford assay. Added 2 mM DTT and incubated the sample at 56°C for 1 hour following with adding sufficient iodoacetic acid to the sample and incubating for 1 hour protected from light at room temperature. And then added 4 volumes cold acetone to a sample extract, vortexed well, placed sample at -20°C to overnight. Centrifuged and collected pellet to wash twice with cold acetone. Finally dissolved the pellet by dissolution buffer containing 0.1 M triethylammonium bicarbonate (TEAB, pH=8.5) and 8 M urea. Protein concentration was determined </w:t>
      </w:r>
      <w:r w:rsidR="00026136">
        <w:rPr>
          <w:rFonts w:ascii="Arial" w:hAnsi="Arial" w:cs="Arial"/>
          <w:sz w:val="20"/>
          <w:szCs w:val="20"/>
        </w:rPr>
        <w:t>by</w:t>
      </w:r>
      <w:r>
        <w:rPr>
          <w:rFonts w:ascii="Arial" w:hAnsi="Arial" w:cs="Arial"/>
          <w:sz w:val="20"/>
          <w:szCs w:val="20"/>
        </w:rPr>
        <w:t xml:space="preserve"> a Bradford assay. Plasma samples were processed via the </w:t>
      </w:r>
      <w:proofErr w:type="spellStart"/>
      <w:r>
        <w:rPr>
          <w:rFonts w:ascii="Arial" w:hAnsi="Arial" w:cs="Arial"/>
          <w:sz w:val="20"/>
          <w:szCs w:val="20"/>
        </w:rPr>
        <w:t>ProtenMiner</w:t>
      </w:r>
      <w:r>
        <w:rPr>
          <w:rFonts w:ascii="Arial" w:hAnsi="Arial" w:cs="Arial"/>
          <w:sz w:val="20"/>
          <w:szCs w:val="20"/>
          <w:vertAlign w:val="superscript"/>
        </w:rPr>
        <w:t>TM</w:t>
      </w:r>
      <w:proofErr w:type="spellEnd"/>
      <w:r>
        <w:rPr>
          <w:rFonts w:ascii="Arial" w:hAnsi="Arial" w:cs="Arial"/>
          <w:sz w:val="20"/>
          <w:szCs w:val="20"/>
        </w:rPr>
        <w:t xml:space="preserve"> protein enrichment kit (Bio-Rad) to remove high-abundance proteins.</w:t>
      </w:r>
    </w:p>
    <w:p w14:paraId="52B5AEBB" w14:textId="3DACA9FD" w:rsidR="0088583A" w:rsidRDefault="0067639F" w:rsidP="00026136">
      <w:pPr>
        <w:spacing w:line="480" w:lineRule="auto"/>
        <w:jc w:val="left"/>
        <w:rPr>
          <w:rFonts w:ascii="Arial" w:hAnsi="Arial" w:cs="Arial"/>
          <w:sz w:val="20"/>
          <w:szCs w:val="20"/>
        </w:rPr>
      </w:pPr>
      <w:r>
        <w:rPr>
          <w:rFonts w:ascii="Arial" w:hAnsi="Arial" w:cs="Arial"/>
          <w:b/>
          <w:sz w:val="20"/>
          <w:szCs w:val="20"/>
        </w:rPr>
        <w:t xml:space="preserve">Peptides </w:t>
      </w:r>
      <w:r>
        <w:rPr>
          <w:rFonts w:ascii="Arial" w:hAnsi="Arial" w:cs="Arial" w:hint="eastAsia"/>
          <w:b/>
          <w:sz w:val="20"/>
          <w:szCs w:val="20"/>
        </w:rPr>
        <w:t>p</w:t>
      </w:r>
      <w:r>
        <w:rPr>
          <w:rFonts w:ascii="Arial" w:hAnsi="Arial" w:cs="Arial"/>
          <w:b/>
          <w:sz w:val="20"/>
          <w:szCs w:val="20"/>
        </w:rPr>
        <w:t>reparation</w:t>
      </w:r>
      <w:r>
        <w:rPr>
          <w:rFonts w:ascii="Arial" w:hAnsi="Arial" w:cs="Arial" w:hint="eastAsia"/>
          <w:b/>
          <w:sz w:val="20"/>
          <w:szCs w:val="20"/>
        </w:rPr>
        <w:t xml:space="preserve">. </w:t>
      </w:r>
      <w:r>
        <w:rPr>
          <w:rFonts w:ascii="Arial" w:hAnsi="Arial" w:cs="Arial"/>
          <w:sz w:val="20"/>
          <w:szCs w:val="20"/>
        </w:rPr>
        <w:t>The supernatants from each sample, containing precisely 0.1 mg of protein were digested with Trypsin Gold (Promega) at 37°C for 16 h</w:t>
      </w:r>
      <w:r w:rsidR="005301B3">
        <w:rPr>
          <w:rFonts w:ascii="Arial" w:hAnsi="Arial" w:cs="Arial"/>
          <w:sz w:val="20"/>
          <w:szCs w:val="20"/>
        </w:rPr>
        <w:t>ours</w:t>
      </w:r>
      <w:r>
        <w:rPr>
          <w:rFonts w:ascii="Arial" w:hAnsi="Arial" w:cs="Arial"/>
          <w:sz w:val="20"/>
          <w:szCs w:val="20"/>
        </w:rPr>
        <w:t xml:space="preserve">. After trypsin digestion, peptides were desalted </w:t>
      </w:r>
      <w:r>
        <w:rPr>
          <w:rFonts w:ascii="Arial" w:hAnsi="Arial" w:cs="Arial"/>
          <w:sz w:val="20"/>
          <w:szCs w:val="20"/>
        </w:rPr>
        <w:lastRenderedPageBreak/>
        <w:t>with C18 cartridge to remove the high urea, and desalted peptides were dried by vacuum centrifugation.</w:t>
      </w:r>
    </w:p>
    <w:p w14:paraId="1EFD21D7" w14:textId="276A5601" w:rsidR="0088583A" w:rsidRDefault="0067639F" w:rsidP="00026136">
      <w:pPr>
        <w:spacing w:line="480" w:lineRule="auto"/>
        <w:jc w:val="left"/>
        <w:rPr>
          <w:rFonts w:ascii="Arial" w:hAnsi="Arial" w:cs="Arial"/>
          <w:sz w:val="20"/>
          <w:szCs w:val="20"/>
        </w:rPr>
      </w:pPr>
      <w:r>
        <w:rPr>
          <w:rFonts w:ascii="Arial" w:hAnsi="Arial" w:cs="Arial"/>
          <w:b/>
          <w:sz w:val="20"/>
          <w:szCs w:val="20"/>
        </w:rPr>
        <w:t xml:space="preserve">TMT </w:t>
      </w:r>
      <w:r>
        <w:rPr>
          <w:rFonts w:ascii="Arial" w:hAnsi="Arial" w:cs="Arial" w:hint="eastAsia"/>
          <w:b/>
          <w:sz w:val="20"/>
          <w:szCs w:val="20"/>
        </w:rPr>
        <w:t>l</w:t>
      </w:r>
      <w:r>
        <w:rPr>
          <w:rFonts w:ascii="Arial" w:hAnsi="Arial" w:cs="Arial"/>
          <w:b/>
          <w:sz w:val="20"/>
          <w:szCs w:val="20"/>
        </w:rPr>
        <w:t>abeling</w:t>
      </w:r>
      <w:r>
        <w:rPr>
          <w:rFonts w:ascii="Arial" w:hAnsi="Arial" w:cs="Arial" w:hint="eastAsia"/>
          <w:b/>
          <w:sz w:val="20"/>
          <w:szCs w:val="20"/>
        </w:rPr>
        <w:t xml:space="preserve">. </w:t>
      </w:r>
      <w:r>
        <w:rPr>
          <w:rFonts w:ascii="Arial" w:hAnsi="Arial" w:cs="Arial"/>
          <w:sz w:val="20"/>
          <w:szCs w:val="20"/>
        </w:rPr>
        <w:t xml:space="preserve">Desalted peptides were labeled with TMT6-plex reagents (TMT6plex™ Isobaric Label Reagent Set, Thermo Fisher), following the manufacturer’s instructions. For 0.1 mg of peptide, 1 unit of labeling reagent was used. Peptides were dissolved in 100 </w:t>
      </w:r>
      <w:proofErr w:type="spellStart"/>
      <w:r>
        <w:rPr>
          <w:rFonts w:ascii="Arial" w:hAnsi="Arial" w:cs="Arial"/>
          <w:sz w:val="20"/>
          <w:szCs w:val="20"/>
        </w:rPr>
        <w:t>μL</w:t>
      </w:r>
      <w:proofErr w:type="spellEnd"/>
      <w:r>
        <w:rPr>
          <w:rFonts w:ascii="Arial" w:hAnsi="Arial" w:cs="Arial"/>
          <w:sz w:val="20"/>
          <w:szCs w:val="20"/>
        </w:rPr>
        <w:t xml:space="preserve"> of 0.1 M TEAB, and the labeling reagent was dissolved in 41 </w:t>
      </w:r>
      <w:proofErr w:type="spellStart"/>
      <w:r>
        <w:rPr>
          <w:rFonts w:ascii="Arial" w:hAnsi="Arial" w:cs="Arial"/>
          <w:sz w:val="20"/>
          <w:szCs w:val="20"/>
        </w:rPr>
        <w:t>μL</w:t>
      </w:r>
      <w:proofErr w:type="spellEnd"/>
      <w:r>
        <w:rPr>
          <w:rFonts w:ascii="Arial" w:hAnsi="Arial" w:cs="Arial"/>
          <w:sz w:val="20"/>
          <w:szCs w:val="20"/>
        </w:rPr>
        <w:t xml:space="preserve"> of acetonitrile. After incubation for 1 h</w:t>
      </w:r>
      <w:r w:rsidR="005301B3">
        <w:rPr>
          <w:rFonts w:ascii="Arial" w:hAnsi="Arial" w:cs="Arial"/>
          <w:sz w:val="20"/>
          <w:szCs w:val="20"/>
        </w:rPr>
        <w:t>our</w:t>
      </w:r>
      <w:r>
        <w:rPr>
          <w:rFonts w:ascii="Arial" w:hAnsi="Arial" w:cs="Arial"/>
          <w:sz w:val="20"/>
          <w:szCs w:val="20"/>
        </w:rPr>
        <w:t>, the reaction was stopped with ammonium hydroxide. Differently labeled peptides were mixed equally and then desalted in peptide desalting spin columns (Thermo Fisher, 89852).</w:t>
      </w:r>
    </w:p>
    <w:p w14:paraId="7007E9C7" w14:textId="10ECC95A" w:rsidR="0088583A" w:rsidRDefault="0067639F" w:rsidP="00026136">
      <w:pPr>
        <w:spacing w:line="480" w:lineRule="auto"/>
        <w:jc w:val="left"/>
        <w:rPr>
          <w:rFonts w:ascii="Arial" w:hAnsi="Arial" w:cs="Arial"/>
          <w:sz w:val="20"/>
          <w:szCs w:val="20"/>
        </w:rPr>
      </w:pPr>
      <w:r>
        <w:rPr>
          <w:rFonts w:ascii="Arial" w:hAnsi="Arial" w:cs="Arial"/>
          <w:b/>
          <w:sz w:val="20"/>
          <w:szCs w:val="20"/>
        </w:rPr>
        <w:t xml:space="preserve">HPLC </w:t>
      </w:r>
      <w:r>
        <w:rPr>
          <w:rFonts w:ascii="Arial" w:hAnsi="Arial" w:cs="Arial" w:hint="eastAsia"/>
          <w:b/>
          <w:sz w:val="20"/>
          <w:szCs w:val="20"/>
        </w:rPr>
        <w:t>f</w:t>
      </w:r>
      <w:r>
        <w:rPr>
          <w:rFonts w:ascii="Arial" w:hAnsi="Arial" w:cs="Arial"/>
          <w:b/>
          <w:sz w:val="20"/>
          <w:szCs w:val="20"/>
        </w:rPr>
        <w:t>ractionation</w:t>
      </w:r>
      <w:r>
        <w:rPr>
          <w:rFonts w:ascii="Arial" w:hAnsi="Arial" w:cs="Arial" w:hint="eastAsia"/>
          <w:b/>
          <w:sz w:val="20"/>
          <w:szCs w:val="20"/>
        </w:rPr>
        <w:t xml:space="preserve">. </w:t>
      </w:r>
      <w:r>
        <w:rPr>
          <w:rFonts w:ascii="Arial" w:hAnsi="Arial" w:cs="Arial"/>
          <w:sz w:val="20"/>
          <w:szCs w:val="20"/>
        </w:rPr>
        <w:t xml:space="preserve">TMT-labeled peptide mix was fractionated using a C18 column (Waters BEH C18 4.6×250 mm, 5 </w:t>
      </w:r>
      <w:proofErr w:type="spellStart"/>
      <w:r>
        <w:rPr>
          <w:rFonts w:ascii="Arial" w:hAnsi="Arial" w:cs="Arial"/>
          <w:sz w:val="20"/>
          <w:szCs w:val="20"/>
        </w:rPr>
        <w:t>μm</w:t>
      </w:r>
      <w:proofErr w:type="spellEnd"/>
      <w:r>
        <w:rPr>
          <w:rFonts w:ascii="Arial" w:hAnsi="Arial" w:cs="Arial"/>
          <w:sz w:val="20"/>
          <w:szCs w:val="20"/>
        </w:rPr>
        <w:t xml:space="preserve">) on a </w:t>
      </w:r>
      <w:proofErr w:type="spellStart"/>
      <w:r>
        <w:rPr>
          <w:rFonts w:ascii="Arial" w:hAnsi="Arial" w:cs="Arial"/>
          <w:sz w:val="20"/>
          <w:szCs w:val="20"/>
        </w:rPr>
        <w:t>Rigol</w:t>
      </w:r>
      <w:proofErr w:type="spellEnd"/>
      <w:r>
        <w:rPr>
          <w:rFonts w:ascii="Arial" w:hAnsi="Arial" w:cs="Arial"/>
          <w:sz w:val="20"/>
          <w:szCs w:val="20"/>
        </w:rPr>
        <w:t xml:space="preserve"> L3000 HPLC operating at 1 </w:t>
      </w:r>
      <w:r w:rsidR="005301B3">
        <w:rPr>
          <w:rFonts w:ascii="Arial" w:hAnsi="Arial" w:cs="Arial"/>
          <w:sz w:val="20"/>
          <w:szCs w:val="20"/>
        </w:rPr>
        <w:t>ml</w:t>
      </w:r>
      <w:r>
        <w:rPr>
          <w:rFonts w:ascii="Arial" w:hAnsi="Arial" w:cs="Arial"/>
          <w:sz w:val="20"/>
          <w:szCs w:val="20"/>
        </w:rPr>
        <w:t>/min. The column oven was set as 50°C. Mobile phases A (2% acetonitrile, adjusted pH to 10.0 using ammonium hydroxide) and B (98% acetonitrile, adjusted pH to 10.0 using ammonium hydroxide) were used to develop a gradient elution. The solvent gradient was set as follows: 3% B, 5min; 3-8% B, 0.1 min; 8-18% B, 11.9 min; 18-32% B, 11 min; 32-45% B, 7 min; 45-80% B, 3 min; 80% B, 5 min; 80-5% B, 0.1 min, 5% B, 6.9 min. The tryptic peptides were monitored at UV 214 nm. Eluent was collected every minute and then merged to 15 fractions. The samples were dried under vacuum and reconstituted in 0.1% (v/v) formic acid (FA) in water for subsequent analyses.</w:t>
      </w:r>
    </w:p>
    <w:p w14:paraId="7AA06BBA" w14:textId="694818D0" w:rsidR="0088583A" w:rsidRDefault="0067639F" w:rsidP="00026136">
      <w:pPr>
        <w:spacing w:line="480" w:lineRule="auto"/>
        <w:jc w:val="left"/>
        <w:rPr>
          <w:rFonts w:ascii="Arial" w:hAnsi="Arial" w:cs="Arial"/>
          <w:sz w:val="20"/>
          <w:szCs w:val="20"/>
        </w:rPr>
      </w:pPr>
      <w:r>
        <w:rPr>
          <w:rFonts w:ascii="Arial" w:hAnsi="Arial" w:cs="Arial"/>
          <w:b/>
          <w:sz w:val="20"/>
          <w:szCs w:val="20"/>
        </w:rPr>
        <w:t xml:space="preserve">LC-MS/MS </w:t>
      </w:r>
      <w:r>
        <w:rPr>
          <w:rFonts w:ascii="Arial" w:hAnsi="Arial" w:cs="Arial" w:hint="eastAsia"/>
          <w:b/>
          <w:sz w:val="20"/>
          <w:szCs w:val="20"/>
        </w:rPr>
        <w:t>a</w:t>
      </w:r>
      <w:r>
        <w:rPr>
          <w:rFonts w:ascii="Arial" w:hAnsi="Arial" w:cs="Arial"/>
          <w:b/>
          <w:sz w:val="20"/>
          <w:szCs w:val="20"/>
        </w:rPr>
        <w:t>nalysis</w:t>
      </w:r>
      <w:r>
        <w:rPr>
          <w:rFonts w:ascii="Arial" w:hAnsi="Arial" w:cs="Arial" w:hint="eastAsia"/>
          <w:b/>
          <w:sz w:val="20"/>
          <w:szCs w:val="20"/>
        </w:rPr>
        <w:t xml:space="preserve">. </w:t>
      </w:r>
      <w:r>
        <w:rPr>
          <w:rFonts w:ascii="Arial" w:hAnsi="Arial" w:cs="Arial"/>
          <w:sz w:val="20"/>
          <w:szCs w:val="20"/>
        </w:rPr>
        <w:t>Shotgun proteomics analyses were performed using an EASY-n LC</w:t>
      </w:r>
      <w:r>
        <w:rPr>
          <w:rFonts w:ascii="Arial" w:hAnsi="Arial" w:cs="Arial"/>
          <w:sz w:val="20"/>
          <w:szCs w:val="20"/>
          <w:vertAlign w:val="superscript"/>
        </w:rPr>
        <w:t>TM</w:t>
      </w:r>
      <w:r>
        <w:rPr>
          <w:rFonts w:ascii="Arial" w:hAnsi="Arial" w:cs="Arial"/>
          <w:sz w:val="20"/>
          <w:szCs w:val="20"/>
        </w:rPr>
        <w:t xml:space="preserve"> 1200 UHPLC system (Thermo Fisher) coupled to an Orbitrap Q </w:t>
      </w:r>
      <w:proofErr w:type="spellStart"/>
      <w:r>
        <w:rPr>
          <w:rFonts w:ascii="Arial" w:hAnsi="Arial" w:cs="Arial"/>
          <w:sz w:val="20"/>
          <w:szCs w:val="20"/>
        </w:rPr>
        <w:t>Exactive</w:t>
      </w:r>
      <w:proofErr w:type="spellEnd"/>
      <w:r>
        <w:rPr>
          <w:rFonts w:ascii="Arial" w:hAnsi="Arial" w:cs="Arial"/>
          <w:sz w:val="20"/>
          <w:szCs w:val="20"/>
        </w:rPr>
        <w:t xml:space="preserve"> HF-X mass spectrometer (Thermo Fisher) operating in the data-dependent acquisition (DDA) mode. A sample volume corresponding to 2 </w:t>
      </w:r>
      <w:proofErr w:type="spellStart"/>
      <w:r>
        <w:rPr>
          <w:rFonts w:ascii="Arial" w:hAnsi="Arial" w:cs="Arial"/>
          <w:sz w:val="20"/>
          <w:szCs w:val="20"/>
        </w:rPr>
        <w:t>μg</w:t>
      </w:r>
      <w:proofErr w:type="spellEnd"/>
      <w:r>
        <w:rPr>
          <w:rFonts w:ascii="Arial" w:hAnsi="Arial" w:cs="Arial"/>
          <w:sz w:val="20"/>
          <w:szCs w:val="20"/>
        </w:rPr>
        <w:t xml:space="preserve"> of total peptides reconstituted in 0.1% FA was injected onto an Acclaim PepMap100 C18 Nano-Trap column (2 cm×100 </w:t>
      </w:r>
      <w:proofErr w:type="spellStart"/>
      <w:r>
        <w:rPr>
          <w:rFonts w:ascii="Arial" w:hAnsi="Arial" w:cs="Arial"/>
          <w:sz w:val="20"/>
          <w:szCs w:val="20"/>
        </w:rPr>
        <w:t>μm</w:t>
      </w:r>
      <w:proofErr w:type="spellEnd"/>
      <w:r>
        <w:rPr>
          <w:rFonts w:ascii="Arial" w:hAnsi="Arial" w:cs="Arial"/>
          <w:sz w:val="20"/>
          <w:szCs w:val="20"/>
        </w:rPr>
        <w:t xml:space="preserve">, 5μm). Peptides were separated on a </w:t>
      </w:r>
      <w:proofErr w:type="spellStart"/>
      <w:r>
        <w:rPr>
          <w:rFonts w:ascii="Arial" w:hAnsi="Arial" w:cs="Arial"/>
          <w:sz w:val="20"/>
          <w:szCs w:val="20"/>
        </w:rPr>
        <w:t>Reprosil-Pur</w:t>
      </w:r>
      <w:proofErr w:type="spellEnd"/>
      <w:r>
        <w:rPr>
          <w:rFonts w:ascii="Arial" w:hAnsi="Arial" w:cs="Arial"/>
          <w:sz w:val="20"/>
          <w:szCs w:val="20"/>
        </w:rPr>
        <w:t xml:space="preserve"> 120 C18-AQ analytical column (15 cm×150 </w:t>
      </w:r>
      <w:proofErr w:type="spellStart"/>
      <w:r>
        <w:rPr>
          <w:rFonts w:ascii="Arial" w:hAnsi="Arial" w:cs="Arial"/>
          <w:sz w:val="20"/>
          <w:szCs w:val="20"/>
        </w:rPr>
        <w:t>μm</w:t>
      </w:r>
      <w:proofErr w:type="spellEnd"/>
      <w:r>
        <w:rPr>
          <w:rFonts w:ascii="Arial" w:hAnsi="Arial" w:cs="Arial"/>
          <w:sz w:val="20"/>
          <w:szCs w:val="20"/>
        </w:rPr>
        <w:t>, 1.9μm), using a 90 min linear gradient for TMT6-plex from 5 to 100% eluent B (0.1% FA in 80% ACN) in eluent A (0.1% FA in H</w:t>
      </w:r>
      <w:r>
        <w:rPr>
          <w:rFonts w:ascii="Arial" w:hAnsi="Arial" w:cs="Arial"/>
          <w:sz w:val="20"/>
          <w:szCs w:val="20"/>
          <w:vertAlign w:val="subscript"/>
        </w:rPr>
        <w:t>2</w:t>
      </w:r>
      <w:r>
        <w:rPr>
          <w:rFonts w:ascii="Arial" w:hAnsi="Arial" w:cs="Arial"/>
          <w:sz w:val="20"/>
          <w:szCs w:val="20"/>
        </w:rPr>
        <w:t xml:space="preserve">O) at a flow rate of 600 </w:t>
      </w:r>
      <w:proofErr w:type="spellStart"/>
      <w:r>
        <w:rPr>
          <w:rFonts w:ascii="Arial" w:hAnsi="Arial" w:cs="Arial"/>
          <w:sz w:val="20"/>
          <w:szCs w:val="20"/>
        </w:rPr>
        <w:t>nL</w:t>
      </w:r>
      <w:proofErr w:type="spellEnd"/>
      <w:r>
        <w:rPr>
          <w:rFonts w:ascii="Arial" w:hAnsi="Arial" w:cs="Arial"/>
          <w:sz w:val="20"/>
          <w:szCs w:val="20"/>
        </w:rPr>
        <w:t xml:space="preserve">/min. The solvent gradient was set as follows: 5-10% B, 2 </w:t>
      </w:r>
      <w:r>
        <w:rPr>
          <w:rFonts w:ascii="Arial" w:hAnsi="Arial" w:cs="Arial"/>
          <w:sz w:val="20"/>
          <w:szCs w:val="20"/>
        </w:rPr>
        <w:lastRenderedPageBreak/>
        <w:t>min; 10-40% B, 80 min; 40–55% B, 2 min; 55–90% B, 1 min; 90–100% B, 5 min. For DDA, Q-</w:t>
      </w:r>
      <w:proofErr w:type="spellStart"/>
      <w:r>
        <w:rPr>
          <w:rFonts w:ascii="Arial" w:hAnsi="Arial" w:cs="Arial"/>
          <w:sz w:val="20"/>
          <w:szCs w:val="20"/>
        </w:rPr>
        <w:t>Exactive</w:t>
      </w:r>
      <w:proofErr w:type="spellEnd"/>
      <w:r>
        <w:rPr>
          <w:rFonts w:ascii="Arial" w:hAnsi="Arial" w:cs="Arial"/>
          <w:sz w:val="20"/>
          <w:szCs w:val="20"/>
        </w:rPr>
        <w:t xml:space="preserve"> HF-X mass spectrometer was operated in positive polarity mode with spray voltage of 2.3 kV and capillary temperature of 320°C. Full MS scans from 350 to 1500 m/z were acquired at a resolution of 60000 (at 200 m/z) with an AGC target value of 3×10</w:t>
      </w:r>
      <w:r>
        <w:rPr>
          <w:rFonts w:ascii="Arial" w:hAnsi="Arial" w:cs="Arial"/>
          <w:sz w:val="20"/>
          <w:szCs w:val="20"/>
          <w:vertAlign w:val="superscript"/>
        </w:rPr>
        <w:t>6</w:t>
      </w:r>
      <w:r>
        <w:rPr>
          <w:rFonts w:ascii="Arial" w:hAnsi="Arial" w:cs="Arial"/>
          <w:sz w:val="20"/>
          <w:szCs w:val="20"/>
        </w:rPr>
        <w:t xml:space="preserve"> and a maximum ion injection time of 20 </w:t>
      </w:r>
      <w:proofErr w:type="spellStart"/>
      <w:r>
        <w:rPr>
          <w:rFonts w:ascii="Arial" w:hAnsi="Arial" w:cs="Arial"/>
          <w:sz w:val="20"/>
          <w:szCs w:val="20"/>
        </w:rPr>
        <w:t>ms.</w:t>
      </w:r>
      <w:proofErr w:type="spellEnd"/>
      <w:r>
        <w:rPr>
          <w:rFonts w:ascii="Arial" w:hAnsi="Arial" w:cs="Arial"/>
          <w:sz w:val="20"/>
          <w:szCs w:val="20"/>
        </w:rPr>
        <w:t xml:space="preserve"> From the full MS scan, a maximum number of 40 of the most abundant precursor ions were selected for higher energy collisional dissociation (HCD) fragment analysis at a resolution of 15000 for TMT6-plex (at 200 m/z) with an automatic gain control (AGC) target value of 1×10</w:t>
      </w:r>
      <w:r>
        <w:rPr>
          <w:rFonts w:ascii="Arial" w:hAnsi="Arial" w:cs="Arial"/>
          <w:sz w:val="20"/>
          <w:szCs w:val="20"/>
          <w:vertAlign w:val="superscript"/>
        </w:rPr>
        <w:t>5</w:t>
      </w:r>
      <w:r>
        <w:rPr>
          <w:rFonts w:ascii="Arial" w:hAnsi="Arial" w:cs="Arial"/>
          <w:sz w:val="20"/>
          <w:szCs w:val="20"/>
        </w:rPr>
        <w:t xml:space="preserve"> , a maximum ion injection time of 45 </w:t>
      </w:r>
      <w:proofErr w:type="spellStart"/>
      <w:r>
        <w:rPr>
          <w:rFonts w:ascii="Arial" w:hAnsi="Arial" w:cs="Arial"/>
          <w:sz w:val="20"/>
          <w:szCs w:val="20"/>
        </w:rPr>
        <w:t>ms</w:t>
      </w:r>
      <w:proofErr w:type="spellEnd"/>
      <w:r>
        <w:rPr>
          <w:rFonts w:ascii="Arial" w:hAnsi="Arial" w:cs="Arial"/>
          <w:sz w:val="20"/>
          <w:szCs w:val="20"/>
        </w:rPr>
        <w:t>, a normalized collision energy of 32%, an intensity threshold of 8.3×10</w:t>
      </w:r>
      <w:r>
        <w:rPr>
          <w:rFonts w:ascii="Arial" w:hAnsi="Arial" w:cs="Arial"/>
          <w:sz w:val="20"/>
          <w:szCs w:val="20"/>
          <w:vertAlign w:val="superscript"/>
        </w:rPr>
        <w:t>3</w:t>
      </w:r>
      <w:r>
        <w:rPr>
          <w:rFonts w:ascii="Arial" w:hAnsi="Arial" w:cs="Arial"/>
          <w:sz w:val="20"/>
          <w:szCs w:val="20"/>
        </w:rPr>
        <w:t xml:space="preserve"> , and the dynamic exclusion parameter set at 60</w:t>
      </w:r>
      <w:r w:rsidR="005301B3">
        <w:rPr>
          <w:rFonts w:ascii="Arial" w:hAnsi="Arial" w:cs="Arial"/>
          <w:sz w:val="20"/>
          <w:szCs w:val="20"/>
        </w:rPr>
        <w:t xml:space="preserve"> </w:t>
      </w:r>
      <w:r>
        <w:rPr>
          <w:rFonts w:ascii="Arial" w:hAnsi="Arial" w:cs="Arial"/>
          <w:sz w:val="20"/>
          <w:szCs w:val="20"/>
        </w:rPr>
        <w:t>s.</w:t>
      </w:r>
    </w:p>
    <w:p w14:paraId="7751C942" w14:textId="77777777" w:rsidR="0088583A" w:rsidRDefault="0067639F" w:rsidP="00026136">
      <w:pPr>
        <w:spacing w:line="480" w:lineRule="auto"/>
        <w:jc w:val="left"/>
        <w:rPr>
          <w:rFonts w:ascii="Arial" w:hAnsi="Arial" w:cs="Arial"/>
          <w:sz w:val="20"/>
          <w:szCs w:val="20"/>
        </w:rPr>
      </w:pPr>
      <w:r>
        <w:rPr>
          <w:rFonts w:ascii="Arial" w:eastAsia="宋体" w:hAnsi="Arial" w:cs="Arial"/>
          <w:b/>
          <w:sz w:val="20"/>
          <w:szCs w:val="20"/>
          <w:lang w:bidi="ar"/>
        </w:rPr>
        <w:t xml:space="preserve">Proteomic </w:t>
      </w:r>
      <w:r>
        <w:rPr>
          <w:rFonts w:ascii="Arial" w:eastAsia="宋体" w:hAnsi="Arial" w:cs="Arial" w:hint="eastAsia"/>
          <w:b/>
          <w:sz w:val="20"/>
          <w:szCs w:val="20"/>
          <w:lang w:bidi="ar"/>
        </w:rPr>
        <w:t>d</w:t>
      </w:r>
      <w:r>
        <w:rPr>
          <w:rFonts w:ascii="Arial" w:eastAsia="宋体" w:hAnsi="Arial" w:cs="Arial"/>
          <w:b/>
          <w:sz w:val="20"/>
          <w:szCs w:val="20"/>
          <w:lang w:bidi="ar"/>
        </w:rPr>
        <w:t xml:space="preserve">atabase </w:t>
      </w:r>
      <w:r>
        <w:rPr>
          <w:rFonts w:ascii="Arial" w:eastAsia="宋体" w:hAnsi="Arial" w:cs="Arial" w:hint="eastAsia"/>
          <w:b/>
          <w:sz w:val="20"/>
          <w:szCs w:val="20"/>
          <w:lang w:bidi="ar"/>
        </w:rPr>
        <w:t>s</w:t>
      </w:r>
      <w:r>
        <w:rPr>
          <w:rFonts w:ascii="Arial" w:eastAsia="宋体" w:hAnsi="Arial" w:cs="Arial"/>
          <w:b/>
          <w:sz w:val="20"/>
          <w:szCs w:val="20"/>
          <w:lang w:bidi="ar"/>
        </w:rPr>
        <w:t>earching</w:t>
      </w:r>
      <w:r>
        <w:rPr>
          <w:rFonts w:ascii="Arial" w:eastAsia="宋体" w:hAnsi="Arial" w:cs="Arial" w:hint="eastAsia"/>
          <w:b/>
          <w:sz w:val="20"/>
          <w:szCs w:val="20"/>
          <w:lang w:bidi="ar"/>
        </w:rPr>
        <w:t xml:space="preserve">. </w:t>
      </w:r>
      <w:r>
        <w:rPr>
          <w:rFonts w:ascii="Arial" w:eastAsia="宋体" w:hAnsi="Arial" w:cs="Arial"/>
          <w:sz w:val="20"/>
          <w:szCs w:val="20"/>
          <w:lang w:bidi="ar"/>
        </w:rPr>
        <w:t>The spectrometry mass data was directly imported into Proteome Discoverer 2.2 in raw file for database search.</w:t>
      </w:r>
      <w:r>
        <w:rPr>
          <w:rFonts w:ascii="Arial" w:eastAsia="宋体" w:hAnsi="Arial" w:cs="Arial"/>
          <w:color w:val="000000"/>
          <w:sz w:val="20"/>
          <w:szCs w:val="20"/>
          <w:lang w:bidi="ar"/>
        </w:rPr>
        <w:t xml:space="preserve"> The database used was </w:t>
      </w:r>
      <w:r>
        <w:rPr>
          <w:rFonts w:ascii="Arial" w:hAnsi="Arial" w:cs="Arial"/>
          <w:color w:val="000000" w:themeColor="text1"/>
          <w:sz w:val="20"/>
          <w:szCs w:val="20"/>
        </w:rPr>
        <w:t xml:space="preserve">Uniport </w:t>
      </w:r>
      <w:r>
        <w:rPr>
          <w:rFonts w:ascii="Arial" w:hAnsi="Arial" w:cs="Arial"/>
          <w:i/>
          <w:color w:val="000000" w:themeColor="text1"/>
          <w:sz w:val="20"/>
          <w:szCs w:val="20"/>
        </w:rPr>
        <w:t>Rattus</w:t>
      </w:r>
      <w:r>
        <w:rPr>
          <w:rFonts w:ascii="Arial" w:hAnsi="Arial" w:cs="Arial"/>
          <w:color w:val="000000" w:themeColor="text1"/>
          <w:sz w:val="20"/>
          <w:szCs w:val="20"/>
        </w:rPr>
        <w:t xml:space="preserve"> </w:t>
      </w:r>
      <w:r>
        <w:rPr>
          <w:rFonts w:ascii="Arial" w:hAnsi="Arial" w:cs="Arial"/>
          <w:i/>
          <w:color w:val="000000" w:themeColor="text1"/>
          <w:sz w:val="20"/>
          <w:szCs w:val="20"/>
        </w:rPr>
        <w:t>Norvegicus</w:t>
      </w:r>
      <w:r>
        <w:rPr>
          <w:rFonts w:ascii="Arial" w:hAnsi="Arial" w:cs="Arial" w:hint="eastAsia"/>
          <w:color w:val="000000" w:themeColor="text1"/>
          <w:sz w:val="20"/>
          <w:szCs w:val="20"/>
        </w:rPr>
        <w:t xml:space="preserve"> </w:t>
      </w:r>
      <w:r>
        <w:rPr>
          <w:rFonts w:ascii="Arial" w:eastAsia="宋体" w:hAnsi="Arial" w:cs="Arial"/>
          <w:color w:val="000000"/>
          <w:sz w:val="20"/>
          <w:szCs w:val="20"/>
          <w:lang w:bidi="ar"/>
        </w:rPr>
        <w:t xml:space="preserve">(Accessed 18 January 2019, 36090 sequences). </w:t>
      </w:r>
      <w:r>
        <w:rPr>
          <w:rFonts w:ascii="Arial" w:eastAsia="宋体" w:hAnsi="Arial" w:cs="Arial"/>
          <w:sz w:val="20"/>
          <w:szCs w:val="20"/>
          <w:lang w:bidi="ar"/>
        </w:rPr>
        <w:t xml:space="preserve">Analysis parameters were as follows: Type of Quantification: Reporter Quantification(TMT 10plex); Enzyme: Trypsin; Instrument: Thermo Q </w:t>
      </w:r>
      <w:proofErr w:type="spellStart"/>
      <w:r>
        <w:rPr>
          <w:rFonts w:ascii="Arial" w:eastAsia="宋体" w:hAnsi="Arial" w:cs="Arial"/>
          <w:sz w:val="20"/>
          <w:szCs w:val="20"/>
          <w:lang w:bidi="ar"/>
        </w:rPr>
        <w:t>Exactive</w:t>
      </w:r>
      <w:proofErr w:type="spellEnd"/>
      <w:r>
        <w:rPr>
          <w:rFonts w:ascii="Arial" w:eastAsia="宋体" w:hAnsi="Arial" w:cs="Arial"/>
          <w:sz w:val="20"/>
          <w:szCs w:val="20"/>
          <w:lang w:bidi="ar"/>
        </w:rPr>
        <w:t xml:space="preserve">™ HFX; </w:t>
      </w:r>
      <w:proofErr w:type="spellStart"/>
      <w:r>
        <w:rPr>
          <w:rFonts w:ascii="Arial" w:eastAsia="宋体" w:hAnsi="Arial" w:cs="Arial"/>
          <w:sz w:val="20"/>
          <w:szCs w:val="20"/>
          <w:lang w:bidi="ar"/>
        </w:rPr>
        <w:t>Max.Missed</w:t>
      </w:r>
      <w:proofErr w:type="spellEnd"/>
      <w:r>
        <w:rPr>
          <w:rFonts w:ascii="Arial" w:eastAsia="宋体" w:hAnsi="Arial" w:cs="Arial"/>
          <w:sz w:val="20"/>
          <w:szCs w:val="20"/>
          <w:lang w:bidi="ar"/>
        </w:rPr>
        <w:t xml:space="preserve"> Cleavage Sites: 2; Precursor Mass Tolerance: 10 ppm; Fragment Mass Tolerance: 0.02 Da; Dynamic Modification: Oxidation/+15.995 Da (M) and TMT 10plex/+229.163 Da (K); N-Terminal Modification: Acetyl/+42.011 Da (N-Terminal) and TMT 10plex/+229.163 Da (N-Terminal); Static Modification: Carbamidomethyl/+57.021 Da (C).</w:t>
      </w:r>
    </w:p>
    <w:p w14:paraId="17A2F193" w14:textId="77777777" w:rsidR="0088583A" w:rsidRDefault="0067639F" w:rsidP="00026136">
      <w:pPr>
        <w:spacing w:line="480" w:lineRule="auto"/>
        <w:jc w:val="left"/>
        <w:rPr>
          <w:rFonts w:ascii="Arial" w:hAnsi="Arial" w:cs="Arial"/>
          <w:b/>
          <w:sz w:val="20"/>
          <w:szCs w:val="20"/>
        </w:rPr>
      </w:pPr>
      <w:r>
        <w:rPr>
          <w:rFonts w:ascii="Arial" w:hAnsi="Arial" w:cs="Arial"/>
          <w:b/>
          <w:sz w:val="20"/>
          <w:szCs w:val="20"/>
        </w:rPr>
        <w:t xml:space="preserve">Lipidomic LC-MS/MS </w:t>
      </w:r>
      <w:r>
        <w:rPr>
          <w:rFonts w:ascii="Arial" w:hAnsi="Arial" w:cs="Arial" w:hint="eastAsia"/>
          <w:b/>
          <w:sz w:val="20"/>
          <w:szCs w:val="20"/>
        </w:rPr>
        <w:t>a</w:t>
      </w:r>
      <w:r>
        <w:rPr>
          <w:rFonts w:ascii="Arial" w:hAnsi="Arial" w:cs="Arial"/>
          <w:b/>
          <w:sz w:val="20"/>
          <w:szCs w:val="20"/>
        </w:rPr>
        <w:t>nalysis</w:t>
      </w:r>
    </w:p>
    <w:p w14:paraId="611A4CF9" w14:textId="75DD5CDA" w:rsidR="0088583A" w:rsidRDefault="0067639F" w:rsidP="00026136">
      <w:pPr>
        <w:spacing w:line="480" w:lineRule="auto"/>
        <w:jc w:val="left"/>
        <w:rPr>
          <w:rFonts w:ascii="Arial" w:hAnsi="Arial" w:cs="Arial"/>
          <w:sz w:val="20"/>
          <w:szCs w:val="20"/>
        </w:rPr>
      </w:pPr>
      <w:r>
        <w:rPr>
          <w:rFonts w:ascii="Arial" w:hAnsi="Arial" w:cs="Arial"/>
          <w:b/>
          <w:sz w:val="20"/>
          <w:szCs w:val="20"/>
        </w:rPr>
        <w:t xml:space="preserve">Lipid </w:t>
      </w:r>
      <w:r>
        <w:rPr>
          <w:rFonts w:ascii="Arial" w:hAnsi="Arial" w:cs="Arial" w:hint="eastAsia"/>
          <w:b/>
          <w:sz w:val="20"/>
          <w:szCs w:val="20"/>
        </w:rPr>
        <w:t>e</w:t>
      </w:r>
      <w:r>
        <w:rPr>
          <w:rFonts w:ascii="Arial" w:hAnsi="Arial" w:cs="Arial"/>
          <w:b/>
          <w:sz w:val="20"/>
          <w:szCs w:val="20"/>
        </w:rPr>
        <w:t>xtraction</w:t>
      </w:r>
      <w:r>
        <w:rPr>
          <w:rFonts w:ascii="Arial" w:hAnsi="Arial" w:cs="Arial" w:hint="eastAsia"/>
          <w:b/>
          <w:sz w:val="20"/>
          <w:szCs w:val="20"/>
        </w:rPr>
        <w:t xml:space="preserve">. </w:t>
      </w:r>
      <w:r>
        <w:rPr>
          <w:rFonts w:ascii="Arial" w:hAnsi="Arial" w:cs="Arial"/>
          <w:sz w:val="20"/>
          <w:szCs w:val="20"/>
        </w:rPr>
        <w:t xml:space="preserve">Samples (100 </w:t>
      </w:r>
      <w:proofErr w:type="spellStart"/>
      <w:r>
        <w:rPr>
          <w:rFonts w:ascii="Arial" w:hAnsi="Arial" w:cs="Arial"/>
          <w:sz w:val="20"/>
          <w:szCs w:val="20"/>
        </w:rPr>
        <w:t>μL</w:t>
      </w:r>
      <w:proofErr w:type="spellEnd"/>
      <w:r>
        <w:rPr>
          <w:rFonts w:ascii="Arial" w:hAnsi="Arial" w:cs="Arial"/>
          <w:sz w:val="20"/>
          <w:szCs w:val="20"/>
        </w:rPr>
        <w:t xml:space="preserve">) were transferred to a glass tube, and then 900 </w:t>
      </w:r>
      <w:proofErr w:type="spellStart"/>
      <w:r>
        <w:rPr>
          <w:rFonts w:ascii="Arial" w:hAnsi="Arial" w:cs="Arial"/>
          <w:sz w:val="20"/>
          <w:szCs w:val="20"/>
        </w:rPr>
        <w:t>μL</w:t>
      </w:r>
      <w:proofErr w:type="spellEnd"/>
      <w:r>
        <w:rPr>
          <w:rFonts w:ascii="Arial" w:hAnsi="Arial" w:cs="Arial"/>
          <w:sz w:val="20"/>
          <w:szCs w:val="20"/>
        </w:rPr>
        <w:t xml:space="preserve"> of water, 2 </w:t>
      </w:r>
      <w:r w:rsidR="005301B3">
        <w:rPr>
          <w:rFonts w:ascii="Arial" w:hAnsi="Arial" w:cs="Arial"/>
          <w:sz w:val="20"/>
          <w:szCs w:val="20"/>
        </w:rPr>
        <w:t>ml</w:t>
      </w:r>
      <w:r>
        <w:rPr>
          <w:rFonts w:ascii="Arial" w:hAnsi="Arial" w:cs="Arial"/>
          <w:sz w:val="20"/>
          <w:szCs w:val="20"/>
        </w:rPr>
        <w:t xml:space="preserve"> of methanol and 0.9 </w:t>
      </w:r>
      <w:r w:rsidR="005301B3">
        <w:rPr>
          <w:rFonts w:ascii="Arial" w:hAnsi="Arial" w:cs="Arial"/>
          <w:sz w:val="20"/>
          <w:szCs w:val="20"/>
        </w:rPr>
        <w:t>ml</w:t>
      </w:r>
      <w:r>
        <w:rPr>
          <w:rFonts w:ascii="Arial" w:hAnsi="Arial" w:cs="Arial"/>
          <w:sz w:val="20"/>
          <w:szCs w:val="20"/>
        </w:rPr>
        <w:t xml:space="preserve"> of dichloromethane were added, followed by sufficient mixing. After 1.0 </w:t>
      </w:r>
      <w:r w:rsidR="005301B3">
        <w:rPr>
          <w:rFonts w:ascii="Arial" w:hAnsi="Arial" w:cs="Arial"/>
          <w:sz w:val="20"/>
          <w:szCs w:val="20"/>
        </w:rPr>
        <w:t>ml</w:t>
      </w:r>
      <w:r>
        <w:rPr>
          <w:rFonts w:ascii="Arial" w:hAnsi="Arial" w:cs="Arial"/>
          <w:sz w:val="20"/>
          <w:szCs w:val="20"/>
        </w:rPr>
        <w:t xml:space="preserve"> of water and 0.9 </w:t>
      </w:r>
      <w:r w:rsidR="005301B3">
        <w:rPr>
          <w:rFonts w:ascii="Arial" w:hAnsi="Arial" w:cs="Arial"/>
          <w:sz w:val="20"/>
          <w:szCs w:val="20"/>
        </w:rPr>
        <w:t>ml</w:t>
      </w:r>
      <w:r>
        <w:rPr>
          <w:rFonts w:ascii="Arial" w:hAnsi="Arial" w:cs="Arial"/>
          <w:sz w:val="20"/>
          <w:szCs w:val="20"/>
        </w:rPr>
        <w:t xml:space="preserve"> of dichloromethane were added, the samples were vortexed to emulsification and centrifuged at 3000 rpm, 4°C for 5 min. The lower dichloromethane layer was subsequently transferred to a fresh glass tube with a glass syringe. The supernatants were added 2 </w:t>
      </w:r>
      <w:r w:rsidR="005301B3">
        <w:rPr>
          <w:rFonts w:ascii="Arial" w:hAnsi="Arial" w:cs="Arial"/>
          <w:sz w:val="20"/>
          <w:szCs w:val="20"/>
        </w:rPr>
        <w:t>ml</w:t>
      </w:r>
      <w:r>
        <w:rPr>
          <w:rFonts w:ascii="Arial" w:hAnsi="Arial" w:cs="Arial"/>
          <w:sz w:val="20"/>
          <w:szCs w:val="20"/>
        </w:rPr>
        <w:t xml:space="preserve"> of dichloromethane and centrifuged at 3000 rpm, 4°C for 5 min. Merged the collected lower dichloromethane layers and spun in a vacuum concentrator until dry. The </w:t>
      </w:r>
      <w:r>
        <w:rPr>
          <w:rFonts w:ascii="Arial" w:hAnsi="Arial" w:cs="Arial"/>
          <w:sz w:val="20"/>
          <w:szCs w:val="20"/>
        </w:rPr>
        <w:lastRenderedPageBreak/>
        <w:t xml:space="preserve">dried metabolite pellets were </w:t>
      </w:r>
      <w:proofErr w:type="spellStart"/>
      <w:r>
        <w:rPr>
          <w:rFonts w:ascii="Arial" w:hAnsi="Arial" w:cs="Arial"/>
          <w:sz w:val="20"/>
          <w:szCs w:val="20"/>
        </w:rPr>
        <w:t>redissolved</w:t>
      </w:r>
      <w:proofErr w:type="spellEnd"/>
      <w:r>
        <w:rPr>
          <w:rFonts w:ascii="Arial" w:hAnsi="Arial" w:cs="Arial"/>
          <w:sz w:val="20"/>
          <w:szCs w:val="20"/>
        </w:rPr>
        <w:t xml:space="preserve"> in 500 </w:t>
      </w:r>
      <w:proofErr w:type="spellStart"/>
      <w:r>
        <w:rPr>
          <w:rFonts w:ascii="Arial" w:hAnsi="Arial" w:cs="Arial"/>
          <w:sz w:val="20"/>
          <w:szCs w:val="20"/>
        </w:rPr>
        <w:t>μ</w:t>
      </w:r>
      <w:r w:rsidR="005301B3">
        <w:rPr>
          <w:rFonts w:ascii="Arial" w:hAnsi="Arial" w:cs="Arial"/>
          <w:sz w:val="20"/>
          <w:szCs w:val="20"/>
        </w:rPr>
        <w:t>l</w:t>
      </w:r>
      <w:proofErr w:type="spellEnd"/>
      <w:r>
        <w:rPr>
          <w:rFonts w:ascii="Arial" w:hAnsi="Arial" w:cs="Arial"/>
          <w:sz w:val="20"/>
          <w:szCs w:val="20"/>
        </w:rPr>
        <w:t xml:space="preserve"> of methanol/dichloromethane and analyzed by LC-MS/MS. The same amount of each samples was mixed as a quality control (QC) sample and a total of 3 QC samples were used in our study.</w:t>
      </w:r>
    </w:p>
    <w:p w14:paraId="4907CB9E" w14:textId="74B711D2" w:rsidR="0088583A" w:rsidRDefault="0067639F" w:rsidP="00026136">
      <w:pPr>
        <w:spacing w:line="480" w:lineRule="auto"/>
        <w:jc w:val="left"/>
        <w:rPr>
          <w:rFonts w:ascii="Arial" w:hAnsi="Arial" w:cs="Arial"/>
          <w:sz w:val="20"/>
          <w:szCs w:val="20"/>
        </w:rPr>
      </w:pPr>
      <w:r>
        <w:rPr>
          <w:rFonts w:ascii="Arial" w:hAnsi="Arial" w:cs="Arial"/>
          <w:b/>
          <w:sz w:val="20"/>
          <w:szCs w:val="20"/>
        </w:rPr>
        <w:t xml:space="preserve">HPLC </w:t>
      </w:r>
      <w:r>
        <w:rPr>
          <w:rFonts w:ascii="Arial" w:hAnsi="Arial" w:cs="Arial" w:hint="eastAsia"/>
          <w:b/>
          <w:sz w:val="20"/>
          <w:szCs w:val="20"/>
        </w:rPr>
        <w:t>a</w:t>
      </w:r>
      <w:r>
        <w:rPr>
          <w:rFonts w:ascii="Arial" w:hAnsi="Arial" w:cs="Arial"/>
          <w:b/>
          <w:sz w:val="20"/>
          <w:szCs w:val="20"/>
        </w:rPr>
        <w:t>nalysis</w:t>
      </w:r>
      <w:r>
        <w:rPr>
          <w:rFonts w:ascii="Arial" w:hAnsi="Arial" w:cs="Arial" w:hint="eastAsia"/>
          <w:b/>
          <w:sz w:val="20"/>
          <w:szCs w:val="20"/>
        </w:rPr>
        <w:t xml:space="preserve">. </w:t>
      </w:r>
      <w:r>
        <w:rPr>
          <w:rFonts w:ascii="Arial" w:hAnsi="Arial" w:cs="Arial"/>
          <w:sz w:val="20"/>
          <w:szCs w:val="20"/>
        </w:rPr>
        <w:t xml:space="preserve">Chromatographic analysis was performed using a Waters ACQUITY UPLC I-Class system. Samples were injected onto a C18 CSH column (100 mm × 2.1 mm, 1.7 </w:t>
      </w:r>
      <w:proofErr w:type="spellStart"/>
      <w:r>
        <w:rPr>
          <w:rFonts w:ascii="Arial" w:hAnsi="Arial" w:cs="Arial"/>
          <w:sz w:val="20"/>
          <w:szCs w:val="20"/>
        </w:rPr>
        <w:t>μm</w:t>
      </w:r>
      <w:proofErr w:type="spellEnd"/>
      <w:r>
        <w:rPr>
          <w:rFonts w:ascii="Arial" w:hAnsi="Arial" w:cs="Arial"/>
          <w:sz w:val="20"/>
          <w:szCs w:val="20"/>
        </w:rPr>
        <w:t xml:space="preserve">; Waters) using a 20 min linear gradient at a flow rate of 0.4 </w:t>
      </w:r>
      <w:r w:rsidR="005301B3">
        <w:rPr>
          <w:rFonts w:ascii="Arial" w:hAnsi="Arial" w:cs="Arial"/>
          <w:sz w:val="20"/>
          <w:szCs w:val="20"/>
        </w:rPr>
        <w:t>ml</w:t>
      </w:r>
      <w:r>
        <w:rPr>
          <w:rFonts w:ascii="Arial" w:hAnsi="Arial" w:cs="Arial"/>
          <w:sz w:val="20"/>
          <w:szCs w:val="20"/>
        </w:rPr>
        <w:t xml:space="preserve">/min. The column temperature was set at 45 °C. Mobile phase buffer A was acetonitrile/water (1/4) with 10 mM ammonium </w:t>
      </w:r>
      <w:proofErr w:type="spellStart"/>
      <w:r>
        <w:rPr>
          <w:rFonts w:ascii="Arial" w:hAnsi="Arial" w:cs="Arial"/>
          <w:sz w:val="20"/>
          <w:szCs w:val="20"/>
        </w:rPr>
        <w:t>formate</w:t>
      </w:r>
      <w:proofErr w:type="spellEnd"/>
      <w:r>
        <w:rPr>
          <w:rFonts w:ascii="Arial" w:hAnsi="Arial" w:cs="Arial"/>
          <w:sz w:val="20"/>
          <w:szCs w:val="20"/>
        </w:rPr>
        <w:t xml:space="preserve"> and 0.1% formic acid, whereas buffer B was acetonitrile/isopropanol (1/9) with 10 mM ammonium </w:t>
      </w:r>
      <w:proofErr w:type="spellStart"/>
      <w:r>
        <w:rPr>
          <w:rFonts w:ascii="Arial" w:hAnsi="Arial" w:cs="Arial"/>
          <w:sz w:val="20"/>
          <w:szCs w:val="20"/>
        </w:rPr>
        <w:t>formate</w:t>
      </w:r>
      <w:proofErr w:type="spellEnd"/>
      <w:r>
        <w:rPr>
          <w:rFonts w:ascii="Arial" w:hAnsi="Arial" w:cs="Arial"/>
          <w:sz w:val="20"/>
          <w:szCs w:val="20"/>
        </w:rPr>
        <w:t xml:space="preserve"> and 0.1% formic acid. The solvent gradient was set as follows: 40% B, initial; 43% B, 2 min; 50% B, 2.1 min; 54% B, 12 min; 70% B, 12.1min; 99% B, 18min; re-equilibration for 2 min at 40% B.</w:t>
      </w:r>
    </w:p>
    <w:p w14:paraId="4B1B3A19" w14:textId="77777777" w:rsidR="0088583A" w:rsidRDefault="0067639F" w:rsidP="00026136">
      <w:pPr>
        <w:spacing w:line="480" w:lineRule="auto"/>
        <w:jc w:val="left"/>
        <w:rPr>
          <w:rFonts w:ascii="Arial" w:hAnsi="Arial" w:cs="Arial"/>
          <w:sz w:val="20"/>
          <w:szCs w:val="20"/>
        </w:rPr>
      </w:pPr>
      <w:r>
        <w:rPr>
          <w:rFonts w:ascii="Arial" w:hAnsi="Arial" w:cs="Arial"/>
          <w:b/>
          <w:sz w:val="20"/>
          <w:szCs w:val="20"/>
        </w:rPr>
        <w:t xml:space="preserve">Mass </w:t>
      </w:r>
      <w:r>
        <w:rPr>
          <w:rFonts w:ascii="Arial" w:hAnsi="Arial" w:cs="Arial" w:hint="eastAsia"/>
          <w:b/>
          <w:sz w:val="20"/>
          <w:szCs w:val="20"/>
        </w:rPr>
        <w:t>s</w:t>
      </w:r>
      <w:r>
        <w:rPr>
          <w:rFonts w:ascii="Arial" w:hAnsi="Arial" w:cs="Arial"/>
          <w:b/>
          <w:sz w:val="20"/>
          <w:szCs w:val="20"/>
        </w:rPr>
        <w:t xml:space="preserve">pectrometry </w:t>
      </w:r>
      <w:r>
        <w:rPr>
          <w:rFonts w:ascii="Arial" w:hAnsi="Arial" w:cs="Arial" w:hint="eastAsia"/>
          <w:b/>
          <w:sz w:val="20"/>
          <w:szCs w:val="20"/>
        </w:rPr>
        <w:t>a</w:t>
      </w:r>
      <w:r>
        <w:rPr>
          <w:rFonts w:ascii="Arial" w:hAnsi="Arial" w:cs="Arial"/>
          <w:b/>
          <w:sz w:val="20"/>
          <w:szCs w:val="20"/>
        </w:rPr>
        <w:t>nalysis</w:t>
      </w:r>
      <w:r>
        <w:rPr>
          <w:rFonts w:ascii="Arial" w:hAnsi="Arial" w:cs="Arial" w:hint="eastAsia"/>
          <w:b/>
          <w:sz w:val="20"/>
          <w:szCs w:val="20"/>
        </w:rPr>
        <w:t xml:space="preserve">. </w:t>
      </w:r>
      <w:r>
        <w:rPr>
          <w:rFonts w:ascii="Arial" w:hAnsi="Arial" w:cs="Arial"/>
          <w:sz w:val="20"/>
          <w:szCs w:val="20"/>
        </w:rPr>
        <w:t xml:space="preserve">After separation by UPLC, mass spectrometry was performed using a </w:t>
      </w:r>
      <w:proofErr w:type="spellStart"/>
      <w:r>
        <w:rPr>
          <w:rFonts w:ascii="Arial" w:hAnsi="Arial" w:cs="Arial"/>
          <w:sz w:val="20"/>
          <w:szCs w:val="20"/>
        </w:rPr>
        <w:t>Xevo</w:t>
      </w:r>
      <w:proofErr w:type="spellEnd"/>
      <w:r>
        <w:rPr>
          <w:rFonts w:ascii="Arial" w:hAnsi="Arial" w:cs="Arial"/>
          <w:sz w:val="20"/>
          <w:szCs w:val="20"/>
        </w:rPr>
        <w:t xml:space="preserve"> G2-S Q-TOF with an electrospray ionization (ESI) source (Waters, Manchester, UK). Dynamic range enhancement was implemented to the mass spectrometry method of the </w:t>
      </w:r>
      <w:proofErr w:type="spellStart"/>
      <w:r>
        <w:rPr>
          <w:rFonts w:ascii="Arial" w:hAnsi="Arial" w:cs="Arial"/>
          <w:sz w:val="20"/>
          <w:szCs w:val="20"/>
        </w:rPr>
        <w:t>Xevo</w:t>
      </w:r>
      <w:proofErr w:type="spellEnd"/>
      <w:r>
        <w:rPr>
          <w:rFonts w:ascii="Arial" w:hAnsi="Arial" w:cs="Arial"/>
          <w:sz w:val="20"/>
          <w:szCs w:val="20"/>
        </w:rPr>
        <w:t xml:space="preserve"> G2-S Q-TOF in order to improve isotopic distribution and mass accuracy and reduce high ion intensities. In positive ion-mode, MS parameters were as follows: capillary voltage was set at 2.5 kV, cone voltage at 24 V, source temperature at 100°C, </w:t>
      </w:r>
      <w:proofErr w:type="spellStart"/>
      <w:r>
        <w:rPr>
          <w:rFonts w:ascii="Arial" w:hAnsi="Arial" w:cs="Arial"/>
          <w:sz w:val="20"/>
          <w:szCs w:val="20"/>
        </w:rPr>
        <w:t>desolvation</w:t>
      </w:r>
      <w:proofErr w:type="spellEnd"/>
      <w:r>
        <w:rPr>
          <w:rFonts w:ascii="Arial" w:hAnsi="Arial" w:cs="Arial"/>
          <w:sz w:val="20"/>
          <w:szCs w:val="20"/>
        </w:rPr>
        <w:t xml:space="preserve"> temperature at 400°C, </w:t>
      </w:r>
      <w:proofErr w:type="spellStart"/>
      <w:r>
        <w:rPr>
          <w:rFonts w:ascii="Arial" w:hAnsi="Arial" w:cs="Arial"/>
          <w:sz w:val="20"/>
          <w:szCs w:val="20"/>
        </w:rPr>
        <w:t>desolvation</w:t>
      </w:r>
      <w:proofErr w:type="spellEnd"/>
      <w:r>
        <w:rPr>
          <w:rFonts w:ascii="Arial" w:hAnsi="Arial" w:cs="Arial"/>
          <w:sz w:val="20"/>
          <w:szCs w:val="20"/>
        </w:rPr>
        <w:t xml:space="preserve"> gas flow at 800 L/h, and cone gas flow at 50 L/h. Acquisition was performed from m/z 100 to 1500. In negative ion-mode, MS parameters were as follows: capillary voltage was set at 2.5 kV, cone voltage at 25 V, source temperature at 100°C, </w:t>
      </w:r>
      <w:proofErr w:type="spellStart"/>
      <w:r>
        <w:rPr>
          <w:rFonts w:ascii="Arial" w:hAnsi="Arial" w:cs="Arial"/>
          <w:sz w:val="20"/>
          <w:szCs w:val="20"/>
        </w:rPr>
        <w:t>desolvation</w:t>
      </w:r>
      <w:proofErr w:type="spellEnd"/>
      <w:r>
        <w:rPr>
          <w:rFonts w:ascii="Arial" w:hAnsi="Arial" w:cs="Arial"/>
          <w:sz w:val="20"/>
          <w:szCs w:val="20"/>
        </w:rPr>
        <w:t xml:space="preserve"> temperature at 500°C, </w:t>
      </w:r>
      <w:proofErr w:type="spellStart"/>
      <w:r>
        <w:rPr>
          <w:rFonts w:ascii="Arial" w:hAnsi="Arial" w:cs="Arial"/>
          <w:sz w:val="20"/>
          <w:szCs w:val="20"/>
        </w:rPr>
        <w:t>desolvation</w:t>
      </w:r>
      <w:proofErr w:type="spellEnd"/>
      <w:r>
        <w:rPr>
          <w:rFonts w:ascii="Arial" w:hAnsi="Arial" w:cs="Arial"/>
          <w:sz w:val="20"/>
          <w:szCs w:val="20"/>
        </w:rPr>
        <w:t xml:space="preserve"> gas flow at 600 L/h, cone gas flow at 10 L/h. Acquisition was performed from m/z 100 to 1500.</w:t>
      </w:r>
    </w:p>
    <w:p w14:paraId="6E90B8C8" w14:textId="77777777" w:rsidR="0088583A" w:rsidRDefault="0067639F" w:rsidP="00026136">
      <w:pPr>
        <w:spacing w:line="480" w:lineRule="auto"/>
        <w:jc w:val="left"/>
        <w:rPr>
          <w:rFonts w:ascii="Arial" w:hAnsi="Arial" w:cs="Arial"/>
          <w:sz w:val="20"/>
          <w:szCs w:val="20"/>
        </w:rPr>
      </w:pPr>
      <w:r>
        <w:rPr>
          <w:rFonts w:ascii="Arial" w:eastAsia="宋体" w:hAnsi="Arial" w:cs="Arial"/>
          <w:b/>
          <w:sz w:val="20"/>
          <w:szCs w:val="20"/>
          <w:lang w:bidi="ar"/>
        </w:rPr>
        <w:t xml:space="preserve">Lipidomic </w:t>
      </w:r>
      <w:r>
        <w:rPr>
          <w:rFonts w:ascii="Arial" w:eastAsia="宋体" w:hAnsi="Arial" w:cs="Arial" w:hint="eastAsia"/>
          <w:b/>
          <w:sz w:val="20"/>
          <w:szCs w:val="20"/>
          <w:lang w:bidi="ar"/>
        </w:rPr>
        <w:t>d</w:t>
      </w:r>
      <w:r>
        <w:rPr>
          <w:rFonts w:ascii="Arial" w:eastAsia="宋体" w:hAnsi="Arial" w:cs="Arial"/>
          <w:b/>
          <w:sz w:val="20"/>
          <w:szCs w:val="20"/>
          <w:lang w:bidi="ar"/>
        </w:rPr>
        <w:t xml:space="preserve">atabase </w:t>
      </w:r>
      <w:r>
        <w:rPr>
          <w:rFonts w:ascii="Arial" w:eastAsia="宋体" w:hAnsi="Arial" w:cs="Arial" w:hint="eastAsia"/>
          <w:b/>
          <w:sz w:val="20"/>
          <w:szCs w:val="20"/>
          <w:lang w:bidi="ar"/>
        </w:rPr>
        <w:t>s</w:t>
      </w:r>
      <w:r>
        <w:rPr>
          <w:rFonts w:ascii="Arial" w:eastAsia="宋体" w:hAnsi="Arial" w:cs="Arial"/>
          <w:b/>
          <w:sz w:val="20"/>
          <w:szCs w:val="20"/>
          <w:lang w:bidi="ar"/>
        </w:rPr>
        <w:t>earching</w:t>
      </w:r>
      <w:r>
        <w:rPr>
          <w:rFonts w:ascii="Arial" w:eastAsia="宋体" w:hAnsi="Arial" w:cs="Arial" w:hint="eastAsia"/>
          <w:b/>
          <w:sz w:val="20"/>
          <w:szCs w:val="20"/>
          <w:lang w:bidi="ar"/>
        </w:rPr>
        <w:t xml:space="preserve">. </w:t>
      </w:r>
      <w:r>
        <w:rPr>
          <w:rFonts w:ascii="Arial" w:hAnsi="Arial" w:cs="Arial"/>
          <w:sz w:val="20"/>
          <w:szCs w:val="20"/>
        </w:rPr>
        <w:t xml:space="preserve">The raw data was imported to the </w:t>
      </w:r>
      <w:proofErr w:type="spellStart"/>
      <w:r>
        <w:rPr>
          <w:rFonts w:ascii="Arial" w:hAnsi="Arial" w:cs="Arial"/>
          <w:sz w:val="20"/>
          <w:szCs w:val="20"/>
        </w:rPr>
        <w:t>Progenesis</w:t>
      </w:r>
      <w:proofErr w:type="spellEnd"/>
      <w:r>
        <w:rPr>
          <w:rFonts w:ascii="Arial" w:hAnsi="Arial" w:cs="Arial"/>
          <w:sz w:val="20"/>
          <w:szCs w:val="20"/>
        </w:rPr>
        <w:t xml:space="preserve"> QI (Waters) to conduct analysis, such as pretreatment, peak alignment, peak integration, peak extraction, multivariate statistical </w:t>
      </w:r>
      <w:r>
        <w:rPr>
          <w:rFonts w:ascii="Arial" w:hAnsi="Arial" w:cs="Arial"/>
          <w:sz w:val="20"/>
          <w:szCs w:val="20"/>
        </w:rPr>
        <w:lastRenderedPageBreak/>
        <w:t xml:space="preserve">analysis and lipids identification. </w:t>
      </w:r>
      <w:proofErr w:type="spellStart"/>
      <w:r>
        <w:rPr>
          <w:rFonts w:ascii="Arial" w:hAnsi="Arial" w:cs="Arial"/>
          <w:sz w:val="20"/>
          <w:szCs w:val="20"/>
        </w:rPr>
        <w:t>Lipidmaps</w:t>
      </w:r>
      <w:proofErr w:type="spellEnd"/>
      <w:r>
        <w:rPr>
          <w:rFonts w:ascii="Arial" w:hAnsi="Arial" w:cs="Arial"/>
          <w:sz w:val="20"/>
          <w:szCs w:val="20"/>
        </w:rPr>
        <w:t xml:space="preserve"> (http://www.lipidmaps.org), HMDB (http://www.hmdb.ca), NIST (https://chemdata.nist.gov) and an in-house lipid database were used for metabolites identification. The mass error used was 5 ppm. Peak alignment was performed using the QC sample as a reference group. Mass fraction correction was performed by </w:t>
      </w:r>
      <w:proofErr w:type="spellStart"/>
      <w:r>
        <w:rPr>
          <w:rFonts w:ascii="Arial" w:hAnsi="Arial" w:cs="Arial"/>
          <w:sz w:val="20"/>
          <w:szCs w:val="20"/>
        </w:rPr>
        <w:t>Lockmass</w:t>
      </w:r>
      <w:proofErr w:type="spellEnd"/>
      <w:r>
        <w:rPr>
          <w:rFonts w:ascii="Arial" w:hAnsi="Arial" w:cs="Arial"/>
          <w:sz w:val="20"/>
          <w:szCs w:val="20"/>
        </w:rPr>
        <w:t>. Data quality control was performed via QC correlation analysis and total samples principal component analysis (PCA).</w:t>
      </w:r>
    </w:p>
    <w:p w14:paraId="410DB97B" w14:textId="77777777" w:rsidR="0088583A" w:rsidRDefault="0088583A" w:rsidP="00026136">
      <w:pPr>
        <w:spacing w:line="480" w:lineRule="auto"/>
        <w:jc w:val="left"/>
        <w:rPr>
          <w:rFonts w:ascii="Arial" w:hAnsi="Arial" w:cs="Arial"/>
          <w:sz w:val="20"/>
          <w:szCs w:val="20"/>
        </w:rPr>
      </w:pPr>
    </w:p>
    <w:p w14:paraId="46918205" w14:textId="77777777" w:rsidR="0088583A" w:rsidRDefault="0067639F" w:rsidP="00026136">
      <w:pPr>
        <w:spacing w:line="480" w:lineRule="auto"/>
        <w:jc w:val="left"/>
        <w:rPr>
          <w:rFonts w:ascii="Arial" w:hAnsi="Arial" w:cs="Arial"/>
          <w:b/>
          <w:sz w:val="20"/>
          <w:szCs w:val="20"/>
        </w:rPr>
      </w:pPr>
      <w:r>
        <w:rPr>
          <w:rFonts w:ascii="Arial" w:hAnsi="Arial" w:cs="Arial"/>
          <w:b/>
          <w:sz w:val="20"/>
          <w:szCs w:val="20"/>
        </w:rPr>
        <w:t>Quality control</w:t>
      </w:r>
    </w:p>
    <w:p w14:paraId="622E2CB3" w14:textId="36C16759" w:rsidR="0088583A" w:rsidRDefault="0067639F" w:rsidP="00AD713B">
      <w:pPr>
        <w:spacing w:line="480" w:lineRule="auto"/>
        <w:jc w:val="left"/>
        <w:rPr>
          <w:rFonts w:ascii="Arial" w:hAnsi="Arial" w:cs="Arial" w:hint="eastAsia"/>
          <w:sz w:val="20"/>
          <w:szCs w:val="20"/>
        </w:rPr>
      </w:pPr>
      <w:r>
        <w:rPr>
          <w:rFonts w:ascii="Arial" w:hAnsi="Arial" w:cs="Arial"/>
          <w:sz w:val="20"/>
          <w:szCs w:val="20"/>
        </w:rPr>
        <w:t>The proteomic</w:t>
      </w:r>
      <w:r w:rsidR="00552524">
        <w:rPr>
          <w:rFonts w:ascii="Arial" w:hAnsi="Arial" w:cs="Arial"/>
          <w:sz w:val="20"/>
          <w:szCs w:val="20"/>
        </w:rPr>
        <w:t>s</w:t>
      </w:r>
      <w:r>
        <w:rPr>
          <w:rFonts w:ascii="Arial" w:hAnsi="Arial" w:cs="Arial"/>
          <w:sz w:val="20"/>
          <w:szCs w:val="20"/>
        </w:rPr>
        <w:t xml:space="preserve"> quality control results after database searching demonstrated that the results had a high reliability (Fig. S1). The 3 QC samples in the </w:t>
      </w:r>
      <w:proofErr w:type="spellStart"/>
      <w:r>
        <w:rPr>
          <w:rFonts w:ascii="Arial" w:hAnsi="Arial" w:cs="Arial"/>
          <w:sz w:val="20"/>
          <w:szCs w:val="20"/>
        </w:rPr>
        <w:t>lipidomic</w:t>
      </w:r>
      <w:r w:rsidR="00552524">
        <w:rPr>
          <w:rFonts w:ascii="Arial" w:hAnsi="Arial" w:cs="Arial"/>
          <w:sz w:val="20"/>
          <w:szCs w:val="20"/>
        </w:rPr>
        <w:t>s</w:t>
      </w:r>
      <w:proofErr w:type="spellEnd"/>
      <w:r>
        <w:rPr>
          <w:rFonts w:ascii="Arial" w:hAnsi="Arial" w:cs="Arial"/>
          <w:sz w:val="20"/>
          <w:szCs w:val="20"/>
        </w:rPr>
        <w:t xml:space="preserve"> were correlated closely and the PCA analysis of them can be completely separated from the ZDF and</w:t>
      </w:r>
      <w:r w:rsidR="00552524">
        <w:rPr>
          <w:rFonts w:ascii="Arial" w:hAnsi="Arial" w:cs="Arial"/>
          <w:sz w:val="20"/>
          <w:szCs w:val="20"/>
        </w:rPr>
        <w:t xml:space="preserve"> </w:t>
      </w:r>
      <w:r w:rsidR="00552524" w:rsidRPr="00B73771">
        <w:rPr>
          <w:rFonts w:ascii="Arial" w:hAnsi="Arial" w:cs="Arial"/>
          <w:sz w:val="20"/>
          <w:szCs w:val="20"/>
        </w:rPr>
        <w:t>their basic diet-fed wild-type controls</w:t>
      </w:r>
      <w:r>
        <w:rPr>
          <w:rFonts w:ascii="Arial" w:hAnsi="Arial" w:cs="Arial"/>
          <w:sz w:val="20"/>
          <w:szCs w:val="20"/>
        </w:rPr>
        <w:t xml:space="preserve"> (Fig. S2), indicating that the entire processing and analysis procedure w</w:t>
      </w:r>
      <w:r w:rsidR="00026136">
        <w:rPr>
          <w:rFonts w:ascii="Arial" w:hAnsi="Arial" w:cs="Arial"/>
          <w:sz w:val="20"/>
          <w:szCs w:val="20"/>
        </w:rPr>
        <w:t>ere</w:t>
      </w:r>
      <w:r>
        <w:rPr>
          <w:rFonts w:ascii="Arial" w:hAnsi="Arial" w:cs="Arial"/>
          <w:sz w:val="20"/>
          <w:szCs w:val="20"/>
        </w:rPr>
        <w:t xml:space="preserve"> stable. PCA and PLS-DA analysis during differentially expressed lipids screening also verified this conclusion (Fig. S3). In summary, our data is reliable.</w:t>
      </w:r>
      <w:bookmarkStart w:id="1" w:name="_GoBack"/>
      <w:bookmarkEnd w:id="1"/>
      <w:r w:rsidR="00AD713B">
        <w:rPr>
          <w:rFonts w:ascii="Arial" w:hAnsi="Arial" w:cs="Arial"/>
          <w:sz w:val="20"/>
          <w:szCs w:val="20"/>
        </w:rPr>
        <w:br w:type="page"/>
      </w:r>
    </w:p>
    <w:p w14:paraId="4536DA86" w14:textId="77777777" w:rsidR="0088583A" w:rsidRDefault="0067639F" w:rsidP="00AD713B">
      <w:pPr>
        <w:spacing w:line="480" w:lineRule="auto"/>
        <w:jc w:val="center"/>
        <w:rPr>
          <w:rFonts w:ascii="Arial" w:hAnsi="Arial" w:cs="Arial"/>
          <w:sz w:val="20"/>
          <w:szCs w:val="20"/>
        </w:rPr>
      </w:pPr>
      <w:r>
        <w:rPr>
          <w:rFonts w:ascii="Arial" w:hAnsi="Arial" w:cs="Arial"/>
          <w:noProof/>
          <w:sz w:val="20"/>
          <w:szCs w:val="20"/>
        </w:rPr>
        <w:lastRenderedPageBreak/>
        <w:drawing>
          <wp:inline distT="0" distB="0" distL="114300" distR="114300" wp14:anchorId="4C761BA1" wp14:editId="6A0ED52A">
            <wp:extent cx="5269865" cy="2247900"/>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9865" cy="2248475"/>
                    </a:xfrm>
                    <a:prstGeom prst="rect">
                      <a:avLst/>
                    </a:prstGeom>
                  </pic:spPr>
                </pic:pic>
              </a:graphicData>
            </a:graphic>
          </wp:inline>
        </w:drawing>
      </w:r>
    </w:p>
    <w:p w14:paraId="646A2B62" w14:textId="3E1FD10A" w:rsidR="0088583A" w:rsidRDefault="0067639F" w:rsidP="00026136">
      <w:pPr>
        <w:spacing w:line="480" w:lineRule="auto"/>
        <w:jc w:val="left"/>
        <w:rPr>
          <w:rFonts w:ascii="Arial" w:hAnsi="Arial" w:cs="Arial"/>
          <w:b/>
          <w:sz w:val="20"/>
          <w:szCs w:val="20"/>
        </w:rPr>
      </w:pPr>
      <w:bookmarkStart w:id="2" w:name="_Hlk38532006"/>
      <w:r>
        <w:rPr>
          <w:rFonts w:ascii="Arial" w:hAnsi="Arial" w:cs="Arial"/>
          <w:b/>
          <w:bCs/>
          <w:sz w:val="20"/>
          <w:szCs w:val="20"/>
        </w:rPr>
        <w:t xml:space="preserve">Fig. S1 </w:t>
      </w:r>
      <w:r>
        <w:rPr>
          <w:rFonts w:ascii="Arial" w:hAnsi="Arial" w:cs="Arial"/>
          <w:b/>
          <w:sz w:val="20"/>
          <w:szCs w:val="20"/>
        </w:rPr>
        <w:t>Quality control of proteomic</w:t>
      </w:r>
      <w:r w:rsidR="00552524">
        <w:rPr>
          <w:rFonts w:ascii="Arial" w:hAnsi="Arial" w:cs="Arial"/>
          <w:b/>
          <w:sz w:val="20"/>
          <w:szCs w:val="20"/>
        </w:rPr>
        <w:t>s</w:t>
      </w:r>
      <w:r>
        <w:rPr>
          <w:rFonts w:ascii="Arial" w:hAnsi="Arial" w:cs="Arial" w:hint="eastAsia"/>
          <w:b/>
          <w:sz w:val="20"/>
          <w:szCs w:val="20"/>
        </w:rPr>
        <w:t>.</w:t>
      </w:r>
    </w:p>
    <w:bookmarkEnd w:id="2"/>
    <w:p w14:paraId="38EEA810" w14:textId="314BB4DC" w:rsidR="00AD713B" w:rsidRDefault="0067639F" w:rsidP="00AD713B">
      <w:pPr>
        <w:pStyle w:val="aa"/>
        <w:spacing w:line="480" w:lineRule="auto"/>
        <w:ind w:firstLineChars="0" w:firstLine="0"/>
        <w:jc w:val="left"/>
        <w:rPr>
          <w:rFonts w:ascii="Arial" w:hAnsi="Arial" w:cs="Arial"/>
          <w:sz w:val="20"/>
          <w:szCs w:val="20"/>
        </w:rPr>
      </w:pPr>
      <w:r>
        <w:rPr>
          <w:rFonts w:ascii="Arial" w:hAnsi="Arial" w:cs="Arial" w:hint="eastAsia"/>
          <w:b/>
          <w:bCs/>
          <w:sz w:val="20"/>
          <w:szCs w:val="20"/>
        </w:rPr>
        <w:t>a</w:t>
      </w:r>
      <w:r>
        <w:rPr>
          <w:rFonts w:ascii="Arial" w:hAnsi="Arial" w:cs="Arial" w:hint="eastAsia"/>
          <w:sz w:val="20"/>
          <w:szCs w:val="20"/>
        </w:rPr>
        <w:t xml:space="preserve"> </w:t>
      </w:r>
      <w:r>
        <w:rPr>
          <w:rFonts w:ascii="Arial" w:hAnsi="Arial" w:cs="Arial"/>
          <w:sz w:val="20"/>
          <w:szCs w:val="20"/>
        </w:rPr>
        <w:t>Protein coverage distribution.</w:t>
      </w:r>
      <w:r>
        <w:rPr>
          <w:rFonts w:ascii="Arial" w:hAnsi="Arial" w:cs="Arial" w:hint="eastAsia"/>
          <w:sz w:val="20"/>
          <w:szCs w:val="20"/>
        </w:rPr>
        <w:t xml:space="preserve"> </w:t>
      </w:r>
      <w:r>
        <w:rPr>
          <w:rFonts w:ascii="Arial" w:hAnsi="Arial" w:cs="Arial" w:hint="eastAsia"/>
          <w:b/>
          <w:bCs/>
          <w:sz w:val="20"/>
          <w:szCs w:val="20"/>
        </w:rPr>
        <w:t>b</w:t>
      </w:r>
      <w:r>
        <w:rPr>
          <w:rFonts w:ascii="Arial" w:hAnsi="Arial" w:cs="Arial" w:hint="eastAsia"/>
          <w:sz w:val="20"/>
          <w:szCs w:val="20"/>
        </w:rPr>
        <w:t xml:space="preserve"> </w:t>
      </w:r>
      <w:r>
        <w:rPr>
          <w:rFonts w:ascii="Arial" w:hAnsi="Arial" w:cs="Arial"/>
          <w:sz w:val="20"/>
          <w:szCs w:val="20"/>
        </w:rPr>
        <w:t>Precursor ion tolerance distribution.</w:t>
      </w:r>
      <w:r>
        <w:rPr>
          <w:rFonts w:ascii="Arial" w:hAnsi="Arial" w:cs="Arial" w:hint="eastAsia"/>
          <w:sz w:val="20"/>
          <w:szCs w:val="20"/>
        </w:rPr>
        <w:t xml:space="preserve"> </w:t>
      </w:r>
      <w:r>
        <w:rPr>
          <w:rFonts w:ascii="Arial" w:hAnsi="Arial" w:cs="Arial" w:hint="eastAsia"/>
          <w:b/>
          <w:bCs/>
          <w:sz w:val="20"/>
          <w:szCs w:val="20"/>
        </w:rPr>
        <w:t>c</w:t>
      </w:r>
      <w:r>
        <w:rPr>
          <w:rFonts w:ascii="Arial" w:hAnsi="Arial" w:cs="Arial" w:hint="eastAsia"/>
          <w:sz w:val="20"/>
          <w:szCs w:val="20"/>
        </w:rPr>
        <w:t xml:space="preserve"> </w:t>
      </w:r>
      <w:r>
        <w:rPr>
          <w:rFonts w:ascii="Arial" w:hAnsi="Arial" w:cs="Arial"/>
          <w:sz w:val="20"/>
          <w:szCs w:val="20"/>
        </w:rPr>
        <w:t>Peptides length distribution.</w:t>
      </w:r>
      <w:r>
        <w:rPr>
          <w:rFonts w:ascii="Arial" w:hAnsi="Arial" w:cs="Arial" w:hint="eastAsia"/>
          <w:sz w:val="20"/>
          <w:szCs w:val="20"/>
        </w:rPr>
        <w:t xml:space="preserve"> </w:t>
      </w:r>
      <w:r>
        <w:rPr>
          <w:rFonts w:ascii="Arial" w:hAnsi="Arial" w:cs="Arial" w:hint="eastAsia"/>
          <w:b/>
          <w:bCs/>
          <w:sz w:val="20"/>
          <w:szCs w:val="20"/>
        </w:rPr>
        <w:t>d</w:t>
      </w:r>
      <w:r>
        <w:rPr>
          <w:rFonts w:ascii="Arial" w:hAnsi="Arial" w:cs="Arial" w:hint="eastAsia"/>
          <w:sz w:val="20"/>
          <w:szCs w:val="20"/>
        </w:rPr>
        <w:t xml:space="preserve"> </w:t>
      </w:r>
      <w:r>
        <w:rPr>
          <w:rFonts w:ascii="Arial" w:hAnsi="Arial" w:cs="Arial"/>
          <w:sz w:val="20"/>
          <w:szCs w:val="20"/>
        </w:rPr>
        <w:t>Protein mass distribution.</w:t>
      </w:r>
      <w:r>
        <w:rPr>
          <w:rFonts w:ascii="Arial" w:hAnsi="Arial" w:cs="Arial" w:hint="eastAsia"/>
          <w:sz w:val="20"/>
          <w:szCs w:val="20"/>
        </w:rPr>
        <w:t xml:space="preserve"> </w:t>
      </w:r>
      <w:r>
        <w:rPr>
          <w:rFonts w:ascii="Arial" w:hAnsi="Arial" w:cs="Arial" w:hint="eastAsia"/>
          <w:b/>
          <w:bCs/>
          <w:sz w:val="20"/>
          <w:szCs w:val="20"/>
        </w:rPr>
        <w:t>e</w:t>
      </w:r>
      <w:r>
        <w:rPr>
          <w:rFonts w:ascii="Arial" w:hAnsi="Arial" w:cs="Arial" w:hint="eastAsia"/>
          <w:sz w:val="20"/>
          <w:szCs w:val="20"/>
        </w:rPr>
        <w:t xml:space="preserve"> </w:t>
      </w:r>
      <w:r>
        <w:rPr>
          <w:rFonts w:ascii="Arial" w:hAnsi="Arial" w:cs="Arial"/>
          <w:sz w:val="20"/>
          <w:szCs w:val="20"/>
        </w:rPr>
        <w:t>Unique peptide number distribution.</w:t>
      </w:r>
      <w:r w:rsidR="00AD713B">
        <w:rPr>
          <w:rFonts w:ascii="Arial" w:hAnsi="Arial" w:cs="Arial"/>
          <w:sz w:val="20"/>
          <w:szCs w:val="20"/>
        </w:rPr>
        <w:br w:type="page"/>
      </w:r>
    </w:p>
    <w:p w14:paraId="580F2D3C" w14:textId="216BA03A" w:rsidR="0088583A" w:rsidRDefault="0067639F" w:rsidP="00026136">
      <w:pPr>
        <w:pStyle w:val="aa"/>
        <w:spacing w:line="480" w:lineRule="auto"/>
        <w:ind w:firstLineChars="0" w:firstLine="0"/>
        <w:jc w:val="left"/>
        <w:rPr>
          <w:rFonts w:ascii="Arial" w:hAnsi="Arial" w:cs="Arial"/>
          <w:sz w:val="20"/>
          <w:szCs w:val="20"/>
        </w:rPr>
      </w:pPr>
      <w:r>
        <w:rPr>
          <w:rFonts w:ascii="Arial" w:hAnsi="Arial" w:cs="Arial"/>
          <w:noProof/>
          <w:sz w:val="20"/>
          <w:szCs w:val="20"/>
        </w:rPr>
        <w:lastRenderedPageBreak/>
        <w:drawing>
          <wp:inline distT="0" distB="0" distL="0" distR="0" wp14:anchorId="561498C1" wp14:editId="6F34FE8D">
            <wp:extent cx="5274310" cy="272796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727960"/>
                    </a:xfrm>
                    <a:prstGeom prst="rect">
                      <a:avLst/>
                    </a:prstGeom>
                  </pic:spPr>
                </pic:pic>
              </a:graphicData>
            </a:graphic>
          </wp:inline>
        </w:drawing>
      </w:r>
    </w:p>
    <w:p w14:paraId="59474072" w14:textId="6F3B3C05" w:rsidR="0088583A" w:rsidRDefault="0067639F" w:rsidP="00026136">
      <w:pPr>
        <w:spacing w:line="480" w:lineRule="auto"/>
        <w:jc w:val="left"/>
        <w:rPr>
          <w:rFonts w:ascii="Arial" w:hAnsi="Arial" w:cs="Arial"/>
          <w:b/>
          <w:sz w:val="20"/>
          <w:szCs w:val="20"/>
        </w:rPr>
      </w:pPr>
      <w:bookmarkStart w:id="3" w:name="_Hlk38531986"/>
      <w:r>
        <w:rPr>
          <w:rFonts w:ascii="Arial" w:hAnsi="Arial" w:cs="Arial"/>
          <w:b/>
          <w:bCs/>
          <w:sz w:val="20"/>
          <w:szCs w:val="20"/>
        </w:rPr>
        <w:t xml:space="preserve">Fig. S2 </w:t>
      </w:r>
      <w:r>
        <w:rPr>
          <w:rFonts w:ascii="Arial" w:hAnsi="Arial" w:cs="Arial"/>
          <w:b/>
          <w:sz w:val="20"/>
          <w:szCs w:val="20"/>
        </w:rPr>
        <w:t xml:space="preserve">Quality control of </w:t>
      </w:r>
      <w:proofErr w:type="spellStart"/>
      <w:r>
        <w:rPr>
          <w:rFonts w:ascii="Arial" w:hAnsi="Arial" w:cs="Arial"/>
          <w:b/>
          <w:sz w:val="20"/>
          <w:szCs w:val="20"/>
        </w:rPr>
        <w:t>lipidomic</w:t>
      </w:r>
      <w:r w:rsidR="00552524">
        <w:rPr>
          <w:rFonts w:ascii="Arial" w:hAnsi="Arial" w:cs="Arial"/>
          <w:b/>
          <w:sz w:val="20"/>
          <w:szCs w:val="20"/>
        </w:rPr>
        <w:t>s</w:t>
      </w:r>
      <w:proofErr w:type="spellEnd"/>
      <w:r>
        <w:rPr>
          <w:rFonts w:ascii="Arial" w:hAnsi="Arial" w:cs="Arial" w:hint="eastAsia"/>
          <w:b/>
          <w:sz w:val="20"/>
          <w:szCs w:val="20"/>
        </w:rPr>
        <w:t>.</w:t>
      </w:r>
    </w:p>
    <w:bookmarkEnd w:id="3"/>
    <w:p w14:paraId="0B270169" w14:textId="7747269C" w:rsidR="00AD713B" w:rsidRDefault="0067639F" w:rsidP="00AD713B">
      <w:pPr>
        <w:pStyle w:val="aa"/>
        <w:spacing w:line="480" w:lineRule="auto"/>
        <w:ind w:firstLineChars="0" w:firstLine="0"/>
        <w:jc w:val="left"/>
        <w:rPr>
          <w:rFonts w:ascii="Arial" w:hAnsi="Arial" w:cs="Arial"/>
          <w:sz w:val="20"/>
          <w:szCs w:val="20"/>
        </w:rPr>
      </w:pPr>
      <w:r>
        <w:rPr>
          <w:rFonts w:ascii="Arial" w:hAnsi="Arial" w:cs="Arial" w:hint="eastAsia"/>
          <w:b/>
          <w:bCs/>
          <w:sz w:val="20"/>
          <w:szCs w:val="20"/>
        </w:rPr>
        <w:t>a</w:t>
      </w:r>
      <w:r>
        <w:rPr>
          <w:rFonts w:ascii="Arial" w:hAnsi="Arial" w:cs="Arial" w:hint="eastAsia"/>
          <w:sz w:val="20"/>
          <w:szCs w:val="20"/>
        </w:rPr>
        <w:t xml:space="preserve"> </w:t>
      </w:r>
      <w:r>
        <w:rPr>
          <w:rFonts w:ascii="Arial" w:hAnsi="Arial" w:cs="Arial"/>
          <w:sz w:val="20"/>
          <w:szCs w:val="20"/>
        </w:rPr>
        <w:t>Violin plot of lipids quantitative results. The middle thick line indicates the quartile range. The middle line of it is the median and the thin line extending from it represents the 95% confidence interval.</w:t>
      </w:r>
      <w:r>
        <w:rPr>
          <w:rFonts w:ascii="Arial" w:hAnsi="Arial" w:cs="Arial" w:hint="eastAsia"/>
          <w:sz w:val="20"/>
          <w:szCs w:val="20"/>
        </w:rPr>
        <w:t xml:space="preserve"> </w:t>
      </w:r>
      <w:r>
        <w:rPr>
          <w:rFonts w:ascii="Arial" w:hAnsi="Arial" w:cs="Arial" w:hint="eastAsia"/>
          <w:b/>
          <w:bCs/>
          <w:sz w:val="20"/>
          <w:szCs w:val="20"/>
        </w:rPr>
        <w:t>b</w:t>
      </w:r>
      <w:r>
        <w:rPr>
          <w:rFonts w:ascii="Arial" w:hAnsi="Arial" w:cs="Arial" w:hint="eastAsia"/>
          <w:sz w:val="20"/>
          <w:szCs w:val="20"/>
        </w:rPr>
        <w:t xml:space="preserve"> </w:t>
      </w:r>
      <w:r>
        <w:rPr>
          <w:rFonts w:ascii="Arial" w:hAnsi="Arial" w:cs="Arial"/>
          <w:sz w:val="20"/>
          <w:szCs w:val="20"/>
        </w:rPr>
        <w:t>There is a high correlation between the 3 QC samples. R</w:t>
      </w:r>
      <w:r>
        <w:rPr>
          <w:rFonts w:ascii="Arial" w:hAnsi="Arial" w:cs="Arial"/>
          <w:sz w:val="20"/>
          <w:szCs w:val="20"/>
          <w:vertAlign w:val="superscript"/>
        </w:rPr>
        <w:t>2</w:t>
      </w:r>
      <w:r>
        <w:rPr>
          <w:rFonts w:ascii="Arial" w:hAnsi="Arial" w:cs="Arial"/>
          <w:sz w:val="20"/>
          <w:szCs w:val="20"/>
        </w:rPr>
        <w:t>: The square of the Pearson correlation coefficient.</w:t>
      </w:r>
      <w:r>
        <w:rPr>
          <w:rFonts w:ascii="Arial" w:hAnsi="Arial" w:cs="Arial" w:hint="eastAsia"/>
          <w:sz w:val="20"/>
          <w:szCs w:val="20"/>
        </w:rPr>
        <w:t xml:space="preserve"> </w:t>
      </w:r>
      <w:r>
        <w:rPr>
          <w:rFonts w:ascii="Arial" w:hAnsi="Arial" w:cs="Arial" w:hint="eastAsia"/>
          <w:b/>
          <w:bCs/>
          <w:sz w:val="20"/>
          <w:szCs w:val="20"/>
        </w:rPr>
        <w:t>c</w:t>
      </w:r>
      <w:r>
        <w:rPr>
          <w:rFonts w:ascii="Arial" w:hAnsi="Arial" w:cs="Arial" w:hint="eastAsia"/>
          <w:sz w:val="20"/>
          <w:szCs w:val="20"/>
        </w:rPr>
        <w:t xml:space="preserve"> </w:t>
      </w:r>
      <w:r>
        <w:rPr>
          <w:rFonts w:ascii="Arial" w:hAnsi="Arial" w:cs="Arial"/>
          <w:sz w:val="20"/>
          <w:szCs w:val="20"/>
        </w:rPr>
        <w:t>Principal component analysis (PCA) of total samples. The abscissa PC1 and the ordinate PC2 represent the scores of the first and second main components, respectively. The scatter color indicates the experimental grouping of the samples. A confidence ellipse of 95% is identified.</w:t>
      </w:r>
      <w:r>
        <w:rPr>
          <w:rFonts w:ascii="Arial" w:hAnsi="Arial" w:cs="Arial" w:hint="eastAsia"/>
          <w:sz w:val="20"/>
          <w:szCs w:val="20"/>
        </w:rPr>
        <w:t xml:space="preserve"> </w:t>
      </w:r>
      <w:r>
        <w:rPr>
          <w:rFonts w:ascii="Arial" w:hAnsi="Arial" w:cs="Arial" w:hint="eastAsia"/>
          <w:b/>
          <w:bCs/>
          <w:sz w:val="20"/>
          <w:szCs w:val="20"/>
        </w:rPr>
        <w:t>d</w:t>
      </w:r>
      <w:r>
        <w:rPr>
          <w:rFonts w:ascii="Arial" w:hAnsi="Arial" w:cs="Arial" w:hint="eastAsia"/>
          <w:sz w:val="20"/>
          <w:szCs w:val="20"/>
        </w:rPr>
        <w:t xml:space="preserve"> </w:t>
      </w:r>
      <w:r>
        <w:rPr>
          <w:rFonts w:ascii="Arial" w:hAnsi="Arial" w:cs="Arial"/>
          <w:sz w:val="20"/>
          <w:szCs w:val="20"/>
        </w:rPr>
        <w:t>3D map of total samples PCA.</w:t>
      </w:r>
      <w:r w:rsidR="00AD713B">
        <w:rPr>
          <w:rFonts w:ascii="Arial" w:hAnsi="Arial" w:cs="Arial"/>
          <w:sz w:val="20"/>
          <w:szCs w:val="20"/>
        </w:rPr>
        <w:br w:type="page"/>
      </w:r>
    </w:p>
    <w:p w14:paraId="1D80339A" w14:textId="3302BD5A" w:rsidR="0088583A" w:rsidRDefault="0067639F" w:rsidP="00AD713B">
      <w:pPr>
        <w:pStyle w:val="aa"/>
        <w:spacing w:line="480" w:lineRule="auto"/>
        <w:ind w:firstLineChars="0" w:firstLine="0"/>
        <w:jc w:val="center"/>
        <w:rPr>
          <w:rFonts w:ascii="Arial" w:hAnsi="Arial" w:cs="Arial"/>
          <w:sz w:val="20"/>
          <w:szCs w:val="20"/>
        </w:rPr>
      </w:pPr>
      <w:r>
        <w:rPr>
          <w:rFonts w:ascii="Arial" w:hAnsi="Arial" w:cs="Arial"/>
          <w:noProof/>
          <w:sz w:val="20"/>
          <w:szCs w:val="20"/>
        </w:rPr>
        <w:lastRenderedPageBreak/>
        <w:drawing>
          <wp:inline distT="0" distB="0" distL="0" distR="0" wp14:anchorId="5F164A47" wp14:editId="752C64B9">
            <wp:extent cx="5274310" cy="2872740"/>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872740"/>
                    </a:xfrm>
                    <a:prstGeom prst="rect">
                      <a:avLst/>
                    </a:prstGeom>
                  </pic:spPr>
                </pic:pic>
              </a:graphicData>
            </a:graphic>
          </wp:inline>
        </w:drawing>
      </w:r>
    </w:p>
    <w:p w14:paraId="5A485AC8" w14:textId="77777777" w:rsidR="0088583A" w:rsidRDefault="0067639F" w:rsidP="00026136">
      <w:pPr>
        <w:spacing w:line="480" w:lineRule="auto"/>
        <w:jc w:val="left"/>
        <w:rPr>
          <w:rFonts w:ascii="Arial" w:hAnsi="Arial" w:cs="Arial"/>
          <w:b/>
          <w:sz w:val="20"/>
          <w:szCs w:val="20"/>
        </w:rPr>
      </w:pPr>
      <w:bookmarkStart w:id="4" w:name="_Hlk38531958"/>
      <w:r>
        <w:rPr>
          <w:rFonts w:ascii="Arial" w:hAnsi="Arial" w:cs="Arial"/>
          <w:b/>
          <w:sz w:val="20"/>
          <w:szCs w:val="20"/>
        </w:rPr>
        <w:t xml:space="preserve">Fig. S3 </w:t>
      </w:r>
      <w:r>
        <w:rPr>
          <w:rFonts w:ascii="Arial" w:hAnsi="Arial" w:cs="Arial"/>
          <w:b/>
          <w:bCs/>
          <w:sz w:val="20"/>
          <w:szCs w:val="20"/>
        </w:rPr>
        <w:t>Visualization of Differentially Expressed Lipids (DEL) Screening</w:t>
      </w:r>
      <w:r>
        <w:rPr>
          <w:rFonts w:ascii="Arial" w:hAnsi="Arial" w:cs="Arial" w:hint="eastAsia"/>
          <w:b/>
          <w:bCs/>
          <w:sz w:val="20"/>
          <w:szCs w:val="20"/>
        </w:rPr>
        <w:t>.</w:t>
      </w:r>
    </w:p>
    <w:bookmarkEnd w:id="4"/>
    <w:p w14:paraId="24CFA192" w14:textId="77777777" w:rsidR="0088583A" w:rsidRDefault="0067639F" w:rsidP="00026136">
      <w:pPr>
        <w:pStyle w:val="aa"/>
        <w:spacing w:line="480" w:lineRule="auto"/>
        <w:ind w:firstLineChars="0" w:firstLine="0"/>
        <w:jc w:val="left"/>
        <w:rPr>
          <w:rFonts w:ascii="Arial" w:hAnsi="Arial" w:cs="Arial"/>
          <w:sz w:val="20"/>
          <w:szCs w:val="20"/>
        </w:rPr>
      </w:pPr>
      <w:r>
        <w:rPr>
          <w:rFonts w:ascii="Arial" w:hAnsi="Arial" w:cs="Arial" w:hint="eastAsia"/>
          <w:b/>
          <w:bCs/>
          <w:sz w:val="20"/>
          <w:szCs w:val="20"/>
        </w:rPr>
        <w:t>a</w:t>
      </w:r>
      <w:r>
        <w:rPr>
          <w:rFonts w:ascii="Arial" w:hAnsi="Arial" w:cs="Arial" w:hint="eastAsia"/>
          <w:sz w:val="20"/>
          <w:szCs w:val="20"/>
        </w:rPr>
        <w:t xml:space="preserve"> </w:t>
      </w:r>
      <w:r>
        <w:rPr>
          <w:rFonts w:ascii="Arial" w:hAnsi="Arial" w:cs="Arial"/>
          <w:sz w:val="20"/>
          <w:szCs w:val="20"/>
        </w:rPr>
        <w:t>Visualization of principal component analysis (PCA) in 2D map. The abscissa PC1 and the ordinate PC2 represent the scores of the first and second main components, respectively. The scatter color indicates the experimental grouping of the samples. A confidence ellipse of 95% is identified.</w:t>
      </w:r>
      <w:r>
        <w:rPr>
          <w:rFonts w:ascii="Arial" w:hAnsi="Arial" w:cs="Arial" w:hint="eastAsia"/>
          <w:sz w:val="20"/>
          <w:szCs w:val="20"/>
        </w:rPr>
        <w:t xml:space="preserve"> </w:t>
      </w:r>
      <w:r>
        <w:rPr>
          <w:rFonts w:ascii="Arial" w:hAnsi="Arial" w:cs="Arial" w:hint="eastAsia"/>
          <w:b/>
          <w:bCs/>
          <w:sz w:val="20"/>
          <w:szCs w:val="20"/>
        </w:rPr>
        <w:t>b</w:t>
      </w:r>
      <w:r>
        <w:rPr>
          <w:rFonts w:ascii="Arial" w:hAnsi="Arial" w:cs="Arial" w:hint="eastAsia"/>
          <w:sz w:val="20"/>
          <w:szCs w:val="20"/>
        </w:rPr>
        <w:t xml:space="preserve"> </w:t>
      </w:r>
      <w:r>
        <w:rPr>
          <w:rFonts w:ascii="Arial" w:hAnsi="Arial" w:cs="Arial"/>
          <w:sz w:val="20"/>
          <w:szCs w:val="20"/>
        </w:rPr>
        <w:t>3D map of PCA.</w:t>
      </w:r>
      <w:r>
        <w:rPr>
          <w:rFonts w:ascii="Arial" w:hAnsi="Arial" w:cs="Arial" w:hint="eastAsia"/>
          <w:sz w:val="20"/>
          <w:szCs w:val="20"/>
        </w:rPr>
        <w:t xml:space="preserve"> </w:t>
      </w:r>
      <w:r>
        <w:rPr>
          <w:rFonts w:ascii="Arial" w:hAnsi="Arial" w:cs="Arial" w:hint="eastAsia"/>
          <w:b/>
          <w:bCs/>
          <w:sz w:val="20"/>
          <w:szCs w:val="20"/>
        </w:rPr>
        <w:t>c</w:t>
      </w:r>
      <w:r>
        <w:rPr>
          <w:rFonts w:ascii="Arial" w:hAnsi="Arial" w:cs="Arial" w:hint="eastAsia"/>
          <w:sz w:val="20"/>
          <w:szCs w:val="20"/>
        </w:rPr>
        <w:t xml:space="preserve"> </w:t>
      </w:r>
      <w:r>
        <w:rPr>
          <w:rFonts w:ascii="Arial" w:hAnsi="Arial" w:cs="Arial"/>
          <w:sz w:val="20"/>
          <w:szCs w:val="20"/>
        </w:rPr>
        <w:t>Score scatter plot of partial least squares discriminant analysis (PLS-DA). The abscissa is the score of the sample on the first principal component. The ordinate is the score of the sample on the second principal component. R2Y represents the interpretation rate of the second principal component of this model. Q2Y represents the prediction rate of this model.</w:t>
      </w:r>
      <w:r>
        <w:rPr>
          <w:rFonts w:ascii="Arial" w:hAnsi="Arial" w:cs="Arial" w:hint="eastAsia"/>
          <w:sz w:val="20"/>
          <w:szCs w:val="20"/>
        </w:rPr>
        <w:t xml:space="preserve"> </w:t>
      </w:r>
      <w:r>
        <w:rPr>
          <w:rFonts w:ascii="Arial" w:hAnsi="Arial" w:cs="Arial" w:hint="eastAsia"/>
          <w:b/>
          <w:bCs/>
          <w:sz w:val="20"/>
          <w:szCs w:val="20"/>
        </w:rPr>
        <w:t>d</w:t>
      </w:r>
      <w:r>
        <w:rPr>
          <w:rFonts w:ascii="Arial" w:hAnsi="Arial" w:cs="Arial" w:hint="eastAsia"/>
          <w:sz w:val="20"/>
          <w:szCs w:val="20"/>
        </w:rPr>
        <w:t xml:space="preserve"> </w:t>
      </w:r>
      <w:r>
        <w:rPr>
          <w:rFonts w:ascii="Arial" w:hAnsi="Arial" w:cs="Arial"/>
          <w:sz w:val="20"/>
          <w:szCs w:val="20"/>
        </w:rPr>
        <w:t>Sort check of PLS-DA. The abscissa represents the correlation of the random grouped Y with the original group Y and the ordinate represents the scores of R2 and Q2.</w:t>
      </w:r>
    </w:p>
    <w:sectPr w:rsidR="0088583A" w:rsidSect="00026136">
      <w:headerReference w:type="default" r:id="rId10"/>
      <w:pgSz w:w="11906" w:h="16838"/>
      <w:pgMar w:top="1440" w:right="1080" w:bottom="1440" w:left="108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E8A05" w14:textId="77777777" w:rsidR="0059561A" w:rsidRDefault="0059561A">
      <w:r>
        <w:separator/>
      </w:r>
    </w:p>
  </w:endnote>
  <w:endnote w:type="continuationSeparator" w:id="0">
    <w:p w14:paraId="6B01320B" w14:textId="77777777" w:rsidR="0059561A" w:rsidRDefault="0059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BC89" w14:textId="77777777" w:rsidR="0059561A" w:rsidRDefault="0059561A">
      <w:r>
        <w:separator/>
      </w:r>
    </w:p>
  </w:footnote>
  <w:footnote w:type="continuationSeparator" w:id="0">
    <w:p w14:paraId="2299224C" w14:textId="77777777" w:rsidR="0059561A" w:rsidRDefault="0059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AutoText"/>
      </w:docPartObj>
    </w:sdtPr>
    <w:sdtEndPr/>
    <w:sdtContent>
      <w:p w14:paraId="4188E107" w14:textId="77777777" w:rsidR="0088583A" w:rsidRDefault="0067639F">
        <w:pPr>
          <w:pStyle w:val="a7"/>
          <w:jc w:val="right"/>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p w14:paraId="3B2D9A2B" w14:textId="77777777" w:rsidR="0088583A" w:rsidRDefault="0088583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F66CDE"/>
    <w:rsid w:val="00026136"/>
    <w:rsid w:val="00070E17"/>
    <w:rsid w:val="000D2C1E"/>
    <w:rsid w:val="00135E3C"/>
    <w:rsid w:val="00141195"/>
    <w:rsid w:val="001970B8"/>
    <w:rsid w:val="002302D9"/>
    <w:rsid w:val="00233FA2"/>
    <w:rsid w:val="003E77B2"/>
    <w:rsid w:val="00520D10"/>
    <w:rsid w:val="005301B3"/>
    <w:rsid w:val="00552524"/>
    <w:rsid w:val="00585659"/>
    <w:rsid w:val="0059561A"/>
    <w:rsid w:val="00596276"/>
    <w:rsid w:val="005F40F0"/>
    <w:rsid w:val="0067639F"/>
    <w:rsid w:val="00721A9F"/>
    <w:rsid w:val="007373F5"/>
    <w:rsid w:val="0075625C"/>
    <w:rsid w:val="007831E7"/>
    <w:rsid w:val="007A5EAF"/>
    <w:rsid w:val="007C1921"/>
    <w:rsid w:val="007C4093"/>
    <w:rsid w:val="007C74B3"/>
    <w:rsid w:val="007E3CE1"/>
    <w:rsid w:val="007F1298"/>
    <w:rsid w:val="00857755"/>
    <w:rsid w:val="0088583A"/>
    <w:rsid w:val="008E57B3"/>
    <w:rsid w:val="008F29C0"/>
    <w:rsid w:val="00937990"/>
    <w:rsid w:val="009868F4"/>
    <w:rsid w:val="009C6DAA"/>
    <w:rsid w:val="00A36275"/>
    <w:rsid w:val="00AD713B"/>
    <w:rsid w:val="00B12918"/>
    <w:rsid w:val="00BA4009"/>
    <w:rsid w:val="00C376DA"/>
    <w:rsid w:val="00CB4BA8"/>
    <w:rsid w:val="00CD17F1"/>
    <w:rsid w:val="00CE5D43"/>
    <w:rsid w:val="00D80516"/>
    <w:rsid w:val="00DC65EF"/>
    <w:rsid w:val="00EA4F2B"/>
    <w:rsid w:val="00EF1EFB"/>
    <w:rsid w:val="00F92CBE"/>
    <w:rsid w:val="00FD54CB"/>
    <w:rsid w:val="00FE7AD9"/>
    <w:rsid w:val="04D96E4E"/>
    <w:rsid w:val="07263442"/>
    <w:rsid w:val="0EBC3B83"/>
    <w:rsid w:val="0F196762"/>
    <w:rsid w:val="11D822C4"/>
    <w:rsid w:val="129B7659"/>
    <w:rsid w:val="1C021AB4"/>
    <w:rsid w:val="1F0C56A9"/>
    <w:rsid w:val="24D80D27"/>
    <w:rsid w:val="30AB2EF3"/>
    <w:rsid w:val="33826971"/>
    <w:rsid w:val="343C6E63"/>
    <w:rsid w:val="345E3250"/>
    <w:rsid w:val="3B361509"/>
    <w:rsid w:val="3DF66CDE"/>
    <w:rsid w:val="423B36BB"/>
    <w:rsid w:val="42897EC2"/>
    <w:rsid w:val="57FB3C2F"/>
    <w:rsid w:val="5FB251D1"/>
    <w:rsid w:val="6BF32470"/>
    <w:rsid w:val="70407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BA551"/>
  <w15:docId w15:val="{4DE2F0BB-DC44-4E36-9528-64324BE3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Lines="100" w:before="100" w:afterLines="100" w:after="100"/>
      <w:jc w:val="center"/>
      <w:outlineLvl w:val="0"/>
    </w:pPr>
    <w:rPr>
      <w:rFonts w:ascii="Times New Roman" w:eastAsia="黑体" w:hAnsi="Times New Roman"/>
      <w:bCs/>
      <w:kern w:val="44"/>
      <w:sz w:val="30"/>
      <w:szCs w:val="22"/>
    </w:rPr>
  </w:style>
  <w:style w:type="paragraph" w:styleId="2">
    <w:name w:val="heading 2"/>
    <w:basedOn w:val="a"/>
    <w:next w:val="a"/>
    <w:link w:val="20"/>
    <w:unhideWhenUsed/>
    <w:qFormat/>
    <w:pPr>
      <w:keepNext/>
      <w:keepLines/>
      <w:spacing w:beforeLines="100" w:before="100" w:afterLines="100" w:after="100"/>
      <w:jc w:val="left"/>
      <w:outlineLvl w:val="1"/>
    </w:pPr>
    <w:rPr>
      <w:rFonts w:ascii="Arial" w:eastAsia="黑体" w:hAnsi="Arial"/>
      <w:sz w:val="28"/>
      <w:szCs w:val="28"/>
    </w:rPr>
  </w:style>
  <w:style w:type="paragraph" w:styleId="3">
    <w:name w:val="heading 3"/>
    <w:basedOn w:val="a"/>
    <w:next w:val="a"/>
    <w:semiHidden/>
    <w:unhideWhenUsed/>
    <w:qFormat/>
    <w:pPr>
      <w:keepNext/>
      <w:keepLines/>
      <w:spacing w:beforeLines="100" w:before="100" w:afterLines="100" w:after="100"/>
      <w:jc w:val="left"/>
      <w:outlineLvl w:val="2"/>
    </w:pPr>
    <w:rPr>
      <w:rFonts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Pr>
      <w:rFonts w:ascii="Arial" w:eastAsia="黑体" w:hAnsi="Arial"/>
      <w:sz w:val="20"/>
    </w:rPr>
  </w:style>
  <w:style w:type="paragraph" w:styleId="a4">
    <w:name w:val="Balloon Text"/>
    <w:basedOn w:val="a"/>
    <w:link w:val="a5"/>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link w:val="a8"/>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line number"/>
    <w:basedOn w:val="a0"/>
  </w:style>
  <w:style w:type="character" w:customStyle="1" w:styleId="a5">
    <w:name w:val="批注框文本 字符"/>
    <w:basedOn w:val="a0"/>
    <w:link w:val="a4"/>
    <w:rPr>
      <w:rFonts w:asciiTheme="minorHAnsi" w:eastAsiaTheme="minorEastAsia" w:hAnsiTheme="minorHAnsi" w:cstheme="minorBidi"/>
      <w:kern w:val="2"/>
      <w:sz w:val="18"/>
      <w:szCs w:val="18"/>
    </w:rPr>
  </w:style>
  <w:style w:type="paragraph" w:customStyle="1" w:styleId="10">
    <w:name w:val="1"/>
    <w:basedOn w:val="1"/>
    <w:link w:val="11"/>
    <w:qFormat/>
    <w:pPr>
      <w:jc w:val="left"/>
    </w:pPr>
    <w:rPr>
      <w:rFonts w:eastAsia="Times New Roman" w:cs="Times New Roman"/>
      <w:bCs w:val="0"/>
      <w:sz w:val="22"/>
    </w:rPr>
  </w:style>
  <w:style w:type="character" w:customStyle="1" w:styleId="11">
    <w:name w:val="1 字符"/>
    <w:basedOn w:val="a0"/>
    <w:link w:val="10"/>
    <w:rPr>
      <w:rFonts w:eastAsia="Times New Roman"/>
      <w:kern w:val="44"/>
      <w:sz w:val="22"/>
      <w:szCs w:val="22"/>
    </w:rPr>
  </w:style>
  <w:style w:type="character" w:customStyle="1" w:styleId="20">
    <w:name w:val="标题 2 字符"/>
    <w:basedOn w:val="a0"/>
    <w:link w:val="2"/>
    <w:rPr>
      <w:rFonts w:ascii="黑体" w:eastAsia="黑体" w:hAnsi="宋体" w:cs="Times New Roman" w:hint="eastAsia"/>
      <w:kern w:val="2"/>
      <w:sz w:val="22"/>
      <w:szCs w:val="28"/>
    </w:rPr>
  </w:style>
  <w:style w:type="paragraph" w:styleId="aa">
    <w:name w:val="List Paragraph"/>
    <w:basedOn w:val="a"/>
    <w:uiPriority w:val="99"/>
    <w:pPr>
      <w:ind w:firstLineChars="200" w:firstLine="420"/>
    </w:pPr>
  </w:style>
  <w:style w:type="character" w:customStyle="1" w:styleId="a8">
    <w:name w:val="页眉 字符"/>
    <w:basedOn w:val="a0"/>
    <w:link w:val="a7"/>
    <w:uiPriority w:val="99"/>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8</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天了噜</dc:creator>
  <cp:lastModifiedBy>帅 王</cp:lastModifiedBy>
  <cp:revision>13</cp:revision>
  <dcterms:created xsi:type="dcterms:W3CDTF">2019-11-09T06:51:00Z</dcterms:created>
  <dcterms:modified xsi:type="dcterms:W3CDTF">2020-05-04T10:56:00Z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