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1B" w:rsidRDefault="006F3ED5" w:rsidP="00452D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Supplementary material</w:t>
      </w:r>
      <w:bookmarkStart w:id="0" w:name="_GoBack"/>
      <w:bookmarkEnd w:id="0"/>
    </w:p>
    <w:p w:rsidR="00452D1B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52D1B" w:rsidRPr="006E3B9F" w:rsidRDefault="00CF416F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b/>
        </w:rPr>
        <w:t>Appendix S1</w:t>
      </w:r>
      <w:r w:rsidR="004E6E90">
        <w:rPr>
          <w:b/>
        </w:rPr>
        <w:t>:</w:t>
      </w:r>
      <w:r w:rsidR="00452D1B" w:rsidRPr="006E3B9F">
        <w:rPr>
          <w:rFonts w:ascii="Calibri" w:hAnsi="Calibri" w:cs="Calibri"/>
          <w:sz w:val="20"/>
          <w:szCs w:val="20"/>
        </w:rPr>
        <w:t xml:space="preserve"> </w:t>
      </w:r>
      <w:r w:rsidR="00452D1B" w:rsidRPr="006E3B9F">
        <w:rPr>
          <w:rFonts w:ascii="Calibri" w:hAnsi="Calibri" w:cs="Calibri"/>
          <w:b/>
          <w:sz w:val="20"/>
          <w:szCs w:val="20"/>
        </w:rPr>
        <w:t>CONCEPTT Collaborative Group</w:t>
      </w:r>
      <w:r w:rsidR="00452D1B" w:rsidRPr="006E3B9F">
        <w:rPr>
          <w:rFonts w:ascii="Calibri" w:hAnsi="Calibri" w:cs="Calibri"/>
          <w:sz w:val="20"/>
          <w:szCs w:val="20"/>
        </w:rPr>
        <w:t xml:space="preserve"> (listed according to recruitment numbers):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Cambridge University Hospitals NHS Foundation Trust, Cambridge, UK: Helen Murphy, Jeannie </w:t>
      </w:r>
      <w:proofErr w:type="spellStart"/>
      <w:r w:rsidRPr="006E3B9F">
        <w:rPr>
          <w:rFonts w:ascii="Calibri" w:hAnsi="Calibri" w:cs="Calibri"/>
          <w:sz w:val="20"/>
          <w:szCs w:val="20"/>
        </w:rPr>
        <w:t>Grisoni</w:t>
      </w:r>
      <w:proofErr w:type="spellEnd"/>
      <w:r w:rsidRPr="006E3B9F">
        <w:rPr>
          <w:rFonts w:ascii="Calibri" w:hAnsi="Calibri" w:cs="Calibri"/>
          <w:sz w:val="20"/>
          <w:szCs w:val="20"/>
        </w:rPr>
        <w:t>,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Carolyn Byrne, Sandra </w:t>
      </w:r>
      <w:proofErr w:type="spellStart"/>
      <w:r w:rsidRPr="006E3B9F">
        <w:rPr>
          <w:rFonts w:ascii="Calibri" w:hAnsi="Calibri" w:cs="Calibri"/>
          <w:sz w:val="20"/>
          <w:szCs w:val="20"/>
        </w:rPr>
        <w:t>Neoh</w:t>
      </w:r>
      <w:proofErr w:type="spellEnd"/>
      <w:r w:rsidRPr="006E3B9F">
        <w:rPr>
          <w:rFonts w:ascii="Calibri" w:hAnsi="Calibri" w:cs="Calibri"/>
          <w:sz w:val="20"/>
          <w:szCs w:val="20"/>
        </w:rPr>
        <w:t>, Katy Davenport, (43); Alberta Health Services, University of Calgary, Calgary,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Canada: Lois Donovan, Claire </w:t>
      </w:r>
      <w:proofErr w:type="spellStart"/>
      <w:r w:rsidRPr="006E3B9F">
        <w:rPr>
          <w:rFonts w:ascii="Calibri" w:hAnsi="Calibri" w:cs="Calibri"/>
          <w:sz w:val="20"/>
          <w:szCs w:val="20"/>
        </w:rPr>
        <w:t>Gougeon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Carolyn </w:t>
      </w:r>
      <w:proofErr w:type="spellStart"/>
      <w:r w:rsidRPr="006E3B9F">
        <w:rPr>
          <w:rFonts w:ascii="Calibri" w:hAnsi="Calibri" w:cs="Calibri"/>
          <w:sz w:val="20"/>
          <w:szCs w:val="20"/>
        </w:rPr>
        <w:t>Oldford</w:t>
      </w:r>
      <w:proofErr w:type="spellEnd"/>
      <w:r w:rsidRPr="006E3B9F">
        <w:rPr>
          <w:rFonts w:ascii="Calibri" w:hAnsi="Calibri" w:cs="Calibri"/>
          <w:sz w:val="20"/>
          <w:szCs w:val="20"/>
        </w:rPr>
        <w:t>, Catherine Young (39); King’s College Hospital,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London, UK: Stephanie </w:t>
      </w:r>
      <w:proofErr w:type="spellStart"/>
      <w:r w:rsidRPr="006E3B9F">
        <w:rPr>
          <w:rFonts w:ascii="Calibri" w:hAnsi="Calibri" w:cs="Calibri"/>
          <w:sz w:val="20"/>
          <w:szCs w:val="20"/>
        </w:rPr>
        <w:t>Amiel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Katharine Hunt, Louisa Green, Helen Rogers, </w:t>
      </w:r>
      <w:proofErr w:type="spellStart"/>
      <w:r w:rsidRPr="006E3B9F">
        <w:rPr>
          <w:rFonts w:ascii="Calibri" w:hAnsi="Calibri" w:cs="Calibri"/>
          <w:sz w:val="20"/>
          <w:szCs w:val="20"/>
        </w:rPr>
        <w:t>Benedetta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Rossi (29); Mount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>Sinai Hospital, Toronto, Canada: Denice Feig, Barbara Cleave, Michelle Strom (22); Hospital de la Santa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E3B9F">
        <w:rPr>
          <w:rFonts w:ascii="Calibri" w:hAnsi="Calibri" w:cs="Calibri"/>
          <w:sz w:val="20"/>
          <w:szCs w:val="20"/>
        </w:rPr>
        <w:t>Creu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</w:rPr>
        <w:t>i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</w:rPr>
        <w:t>Sant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Pau, Barcelona, Spain and CIBER‐BBN, Zaragoza, Spain: Rosa </w:t>
      </w:r>
      <w:proofErr w:type="spellStart"/>
      <w:r w:rsidRPr="006E3B9F">
        <w:rPr>
          <w:rFonts w:ascii="Calibri" w:hAnsi="Calibri" w:cs="Calibri"/>
          <w:sz w:val="20"/>
          <w:szCs w:val="20"/>
        </w:rPr>
        <w:t>Corcoy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Alberto de </w:t>
      </w:r>
      <w:proofErr w:type="spellStart"/>
      <w:r w:rsidRPr="006E3B9F">
        <w:rPr>
          <w:rFonts w:ascii="Calibri" w:hAnsi="Calibri" w:cs="Calibri"/>
          <w:sz w:val="20"/>
          <w:szCs w:val="20"/>
        </w:rPr>
        <w:t>Leiva</w:t>
      </w:r>
      <w:proofErr w:type="spellEnd"/>
      <w:r w:rsidRPr="006E3B9F">
        <w:rPr>
          <w:rFonts w:ascii="Calibri" w:hAnsi="Calibri" w:cs="Calibri"/>
          <w:sz w:val="20"/>
          <w:szCs w:val="20"/>
        </w:rPr>
        <w:t>, Juan</w:t>
      </w:r>
    </w:p>
    <w:p w:rsidR="00452D1B" w:rsidRPr="00D652BC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n-CA"/>
        </w:rPr>
      </w:pPr>
      <w:proofErr w:type="spellStart"/>
      <w:r w:rsidRPr="00D652BC">
        <w:rPr>
          <w:rFonts w:ascii="Calibri" w:hAnsi="Calibri" w:cs="Calibri"/>
          <w:sz w:val="20"/>
          <w:szCs w:val="20"/>
          <w:lang w:val="en-CA"/>
        </w:rPr>
        <w:t>María</w:t>
      </w:r>
      <w:proofErr w:type="spellEnd"/>
      <w:r w:rsidRPr="00D652BC">
        <w:rPr>
          <w:rFonts w:ascii="Calibri" w:hAnsi="Calibri" w:cs="Calibri"/>
          <w:sz w:val="20"/>
          <w:szCs w:val="20"/>
          <w:lang w:val="en-CA"/>
        </w:rPr>
        <w:t xml:space="preserve"> </w:t>
      </w:r>
      <w:proofErr w:type="spellStart"/>
      <w:r w:rsidRPr="00D652BC">
        <w:rPr>
          <w:rFonts w:ascii="Calibri" w:hAnsi="Calibri" w:cs="Calibri"/>
          <w:sz w:val="20"/>
          <w:szCs w:val="20"/>
          <w:lang w:val="en-CA"/>
        </w:rPr>
        <w:t>Adelantado</w:t>
      </w:r>
      <w:proofErr w:type="spellEnd"/>
      <w:r w:rsidRPr="00D652BC">
        <w:rPr>
          <w:rFonts w:ascii="Calibri" w:hAnsi="Calibri" w:cs="Calibri"/>
          <w:sz w:val="20"/>
          <w:szCs w:val="20"/>
          <w:lang w:val="en-CA"/>
        </w:rPr>
        <w:t xml:space="preserve">, Ana Isabel Chico, Diana </w:t>
      </w:r>
      <w:proofErr w:type="spellStart"/>
      <w:r w:rsidRPr="00D652BC">
        <w:rPr>
          <w:rFonts w:ascii="Calibri" w:hAnsi="Calibri" w:cs="Calibri"/>
          <w:sz w:val="20"/>
          <w:szCs w:val="20"/>
          <w:lang w:val="en-CA"/>
        </w:rPr>
        <w:t>Tundidor</w:t>
      </w:r>
      <w:proofErr w:type="spellEnd"/>
      <w:r w:rsidRPr="00D652BC">
        <w:rPr>
          <w:rFonts w:ascii="Calibri" w:hAnsi="Calibri" w:cs="Calibri"/>
          <w:sz w:val="20"/>
          <w:szCs w:val="20"/>
          <w:lang w:val="en-CA"/>
        </w:rPr>
        <w:t xml:space="preserve"> (22); The Ottawa Hospital General Campus, Ottawa,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>Canada: Erin Keely, Janine Malcolm, Kathy Henry (15); Ipswich Hospital NHS Trust, Ipswich, UK: Damian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Morris, Gerry </w:t>
      </w:r>
      <w:proofErr w:type="spellStart"/>
      <w:r w:rsidRPr="006E3B9F">
        <w:rPr>
          <w:rFonts w:ascii="Calibri" w:hAnsi="Calibri" w:cs="Calibri"/>
          <w:sz w:val="20"/>
          <w:szCs w:val="20"/>
        </w:rPr>
        <w:t>Rayman</w:t>
      </w:r>
      <w:proofErr w:type="spellEnd"/>
      <w:r w:rsidRPr="006E3B9F">
        <w:rPr>
          <w:rFonts w:ascii="Calibri" w:hAnsi="Calibri" w:cs="Calibri"/>
          <w:sz w:val="20"/>
          <w:szCs w:val="20"/>
        </w:rPr>
        <w:t>, Duncan Fowler, Susan Mitchell, Josephine Rosier (13); Norfolk and Norwich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University Hospital, Norwich, UK: Rosemary Temple, Jeremy Turner, </w:t>
      </w:r>
      <w:proofErr w:type="spellStart"/>
      <w:r w:rsidRPr="006E3B9F">
        <w:rPr>
          <w:rFonts w:ascii="Calibri" w:hAnsi="Calibri" w:cs="Calibri"/>
          <w:sz w:val="20"/>
          <w:szCs w:val="20"/>
        </w:rPr>
        <w:t>Gioia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</w:rPr>
        <w:t>Canciani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E3B9F">
        <w:rPr>
          <w:rFonts w:ascii="Calibri" w:hAnsi="Calibri" w:cs="Calibri"/>
          <w:sz w:val="20"/>
          <w:szCs w:val="20"/>
        </w:rPr>
        <w:t>Niranjala</w:t>
      </w:r>
      <w:proofErr w:type="spellEnd"/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E3B9F">
        <w:rPr>
          <w:rFonts w:ascii="Calibri" w:hAnsi="Calibri" w:cs="Calibri"/>
          <w:sz w:val="20"/>
          <w:szCs w:val="20"/>
        </w:rPr>
        <w:t>Hewapathirana</w:t>
      </w:r>
      <w:proofErr w:type="spellEnd"/>
      <w:r w:rsidRPr="006E3B9F">
        <w:rPr>
          <w:rFonts w:ascii="Calibri" w:hAnsi="Calibri" w:cs="Calibri"/>
          <w:sz w:val="20"/>
          <w:szCs w:val="20"/>
        </w:rPr>
        <w:t>, Leanne Piper (13); St. Joseph's Health Centre, London, Canada: Ruth McManus, Anne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E3B9F">
        <w:rPr>
          <w:rFonts w:ascii="Calibri" w:hAnsi="Calibri" w:cs="Calibri"/>
          <w:sz w:val="20"/>
          <w:szCs w:val="20"/>
        </w:rPr>
        <w:t>Kudirka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Margaret Watson (13); Niguarda ca’ </w:t>
      </w:r>
      <w:proofErr w:type="spellStart"/>
      <w:r w:rsidRPr="006E3B9F">
        <w:rPr>
          <w:rFonts w:ascii="Calibri" w:hAnsi="Calibri" w:cs="Calibri"/>
          <w:sz w:val="20"/>
          <w:szCs w:val="20"/>
        </w:rPr>
        <w:t>Granda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Hospital, Milano, Italy: Matteo </w:t>
      </w:r>
      <w:proofErr w:type="spellStart"/>
      <w:r w:rsidRPr="006E3B9F">
        <w:rPr>
          <w:rFonts w:ascii="Calibri" w:hAnsi="Calibri" w:cs="Calibri"/>
          <w:sz w:val="20"/>
          <w:szCs w:val="20"/>
        </w:rPr>
        <w:t>Bonomo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E3B9F">
        <w:rPr>
          <w:rFonts w:ascii="Calibri" w:hAnsi="Calibri" w:cs="Calibri"/>
          <w:sz w:val="20"/>
          <w:szCs w:val="20"/>
        </w:rPr>
        <w:t>Basilio</w:t>
      </w:r>
      <w:proofErr w:type="spellEnd"/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E3B9F">
        <w:rPr>
          <w:rFonts w:ascii="Calibri" w:hAnsi="Calibri" w:cs="Calibri"/>
          <w:sz w:val="20"/>
          <w:szCs w:val="20"/>
        </w:rPr>
        <w:t>Pintaudi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Federico </w:t>
      </w:r>
      <w:proofErr w:type="spellStart"/>
      <w:r w:rsidRPr="006E3B9F">
        <w:rPr>
          <w:rFonts w:ascii="Calibri" w:hAnsi="Calibri" w:cs="Calibri"/>
          <w:sz w:val="20"/>
          <w:szCs w:val="20"/>
        </w:rPr>
        <w:t>Bertuzzi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E3B9F">
        <w:rPr>
          <w:rFonts w:ascii="Calibri" w:hAnsi="Calibri" w:cs="Calibri"/>
          <w:sz w:val="20"/>
          <w:szCs w:val="20"/>
        </w:rPr>
        <w:t>Giuseppina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Daniela </w:t>
      </w:r>
      <w:proofErr w:type="spellStart"/>
      <w:r w:rsidRPr="006E3B9F">
        <w:rPr>
          <w:rFonts w:ascii="Calibri" w:hAnsi="Calibri" w:cs="Calibri"/>
          <w:sz w:val="20"/>
          <w:szCs w:val="20"/>
        </w:rPr>
        <w:t>Corica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Elena </w:t>
      </w:r>
      <w:proofErr w:type="spellStart"/>
      <w:r w:rsidRPr="006E3B9F">
        <w:rPr>
          <w:rFonts w:ascii="Calibri" w:hAnsi="Calibri" w:cs="Calibri"/>
          <w:sz w:val="20"/>
          <w:szCs w:val="20"/>
        </w:rPr>
        <w:t>Mion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(12); Sunnybrook Health Sciences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Centre, Toronto, Canada: Julia Lowe, </w:t>
      </w:r>
      <w:proofErr w:type="spellStart"/>
      <w:r w:rsidRPr="006E3B9F">
        <w:rPr>
          <w:rFonts w:ascii="Calibri" w:hAnsi="Calibri" w:cs="Calibri"/>
          <w:sz w:val="20"/>
          <w:szCs w:val="20"/>
        </w:rPr>
        <w:t>Ilana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</w:rPr>
        <w:t>Halperin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Anna </w:t>
      </w:r>
      <w:proofErr w:type="spellStart"/>
      <w:r w:rsidRPr="006E3B9F">
        <w:rPr>
          <w:rFonts w:ascii="Calibri" w:hAnsi="Calibri" w:cs="Calibri"/>
          <w:sz w:val="20"/>
          <w:szCs w:val="20"/>
        </w:rPr>
        <w:t>Rogowsky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E3B9F">
        <w:rPr>
          <w:rFonts w:ascii="Calibri" w:hAnsi="Calibri" w:cs="Calibri"/>
          <w:sz w:val="20"/>
          <w:szCs w:val="20"/>
        </w:rPr>
        <w:t>Sapida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</w:rPr>
        <w:t>Adib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(11); Glasgow Royal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Infirmary, Glasgow, UK: Robert Lindsay, David Carty, Isobel Crawford, Fiona Mackenzie, Therese </w:t>
      </w:r>
      <w:proofErr w:type="spellStart"/>
      <w:r w:rsidRPr="006E3B9F">
        <w:rPr>
          <w:rFonts w:ascii="Calibri" w:hAnsi="Calibri" w:cs="Calibri"/>
          <w:sz w:val="20"/>
          <w:szCs w:val="20"/>
        </w:rPr>
        <w:t>McSorley</w:t>
      </w:r>
      <w:proofErr w:type="spellEnd"/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(10); McMaster University, Hamilton, Canada: John Booth, Natalia </w:t>
      </w:r>
      <w:proofErr w:type="spellStart"/>
      <w:r w:rsidRPr="006E3B9F">
        <w:rPr>
          <w:rFonts w:ascii="Calibri" w:hAnsi="Calibri" w:cs="Calibri"/>
          <w:sz w:val="20"/>
          <w:szCs w:val="20"/>
        </w:rPr>
        <w:t>McInnes</w:t>
      </w:r>
      <w:proofErr w:type="spellEnd"/>
      <w:r w:rsidRPr="006E3B9F">
        <w:rPr>
          <w:rFonts w:ascii="Calibri" w:hAnsi="Calibri" w:cs="Calibri"/>
          <w:sz w:val="20"/>
          <w:szCs w:val="20"/>
        </w:rPr>
        <w:t>, Ada Smith, Irene Stanton,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Tracy </w:t>
      </w:r>
      <w:proofErr w:type="spellStart"/>
      <w:r w:rsidRPr="006E3B9F">
        <w:rPr>
          <w:rFonts w:ascii="Calibri" w:hAnsi="Calibri" w:cs="Calibri"/>
          <w:sz w:val="20"/>
          <w:szCs w:val="20"/>
        </w:rPr>
        <w:t>Tazzeo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(8); Centre </w:t>
      </w:r>
      <w:proofErr w:type="spellStart"/>
      <w:r w:rsidRPr="006E3B9F">
        <w:rPr>
          <w:rFonts w:ascii="Calibri" w:hAnsi="Calibri" w:cs="Calibri"/>
          <w:sz w:val="20"/>
          <w:szCs w:val="20"/>
        </w:rPr>
        <w:t>hospitalier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</w:rPr>
        <w:t>universitaire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de Québec, Quebec City, Canada: John </w:t>
      </w:r>
      <w:proofErr w:type="spellStart"/>
      <w:r w:rsidRPr="006E3B9F">
        <w:rPr>
          <w:rFonts w:ascii="Calibri" w:hAnsi="Calibri" w:cs="Calibri"/>
          <w:sz w:val="20"/>
          <w:szCs w:val="20"/>
        </w:rPr>
        <w:t>Weisnagel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(6);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Queen’s Medical Centre, Nottingham, UK: Peter Mansell, Nia Jones, </w:t>
      </w:r>
      <w:proofErr w:type="spellStart"/>
      <w:r w:rsidRPr="006E3B9F">
        <w:rPr>
          <w:rFonts w:ascii="Calibri" w:hAnsi="Calibri" w:cs="Calibri"/>
          <w:sz w:val="20"/>
          <w:szCs w:val="20"/>
        </w:rPr>
        <w:t>Gayna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Babington, Dawn Spick (6);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>Royal Victoria Infirmary, Newcastle Upon Tyne, Newcastle, UK: Malcolm MacDougall, Sharon Chilton, Terri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E3B9F">
        <w:rPr>
          <w:rFonts w:ascii="Calibri" w:hAnsi="Calibri" w:cs="Calibri"/>
          <w:sz w:val="20"/>
          <w:szCs w:val="20"/>
        </w:rPr>
        <w:t>Cutts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Michelle Perkins (6); Leeds Teaching Hospitals NHS Trust, Leeds, UK: Eleanor Scott, Del </w:t>
      </w:r>
      <w:proofErr w:type="spellStart"/>
      <w:r w:rsidRPr="006E3B9F">
        <w:rPr>
          <w:rFonts w:ascii="Calibri" w:hAnsi="Calibri" w:cs="Calibri"/>
          <w:sz w:val="20"/>
          <w:szCs w:val="20"/>
        </w:rPr>
        <w:t>Endersby</w:t>
      </w:r>
      <w:proofErr w:type="spellEnd"/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>(6); Royal Infirmary of Edinburgh, Edinburgh, UK: Anna Dover, Frances Dougherty, Susan Johnston (6);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Sheffield Teaching Hospitals NHS Foundation Trust, Sheffield, UK: Simon Heller, Peter </w:t>
      </w:r>
      <w:proofErr w:type="spellStart"/>
      <w:r w:rsidRPr="006E3B9F">
        <w:rPr>
          <w:rFonts w:ascii="Calibri" w:hAnsi="Calibri" w:cs="Calibri"/>
          <w:sz w:val="20"/>
          <w:szCs w:val="20"/>
        </w:rPr>
        <w:t>Novodorsky</w:t>
      </w:r>
      <w:proofErr w:type="spellEnd"/>
      <w:r w:rsidRPr="006E3B9F">
        <w:rPr>
          <w:rFonts w:ascii="Calibri" w:hAnsi="Calibri" w:cs="Calibri"/>
          <w:sz w:val="20"/>
          <w:szCs w:val="20"/>
        </w:rPr>
        <w:t>, Sue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Hudson, Chloe </w:t>
      </w:r>
      <w:proofErr w:type="spellStart"/>
      <w:r w:rsidRPr="006E3B9F">
        <w:rPr>
          <w:rFonts w:ascii="Calibri" w:hAnsi="Calibri" w:cs="Calibri"/>
          <w:sz w:val="20"/>
          <w:szCs w:val="20"/>
        </w:rPr>
        <w:t>Nisbet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(6); </w:t>
      </w:r>
      <w:proofErr w:type="spellStart"/>
      <w:r w:rsidRPr="006E3B9F">
        <w:rPr>
          <w:rFonts w:ascii="Calibri" w:hAnsi="Calibri" w:cs="Calibri"/>
          <w:sz w:val="20"/>
          <w:szCs w:val="20"/>
        </w:rPr>
        <w:t>Izaak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Walton Killam Health Sciences Centre (IWK), Halifax, Canada: Thomas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Ransom, Jill </w:t>
      </w:r>
      <w:proofErr w:type="spellStart"/>
      <w:r w:rsidRPr="006E3B9F">
        <w:rPr>
          <w:rFonts w:ascii="Calibri" w:hAnsi="Calibri" w:cs="Calibri"/>
          <w:sz w:val="20"/>
          <w:szCs w:val="20"/>
        </w:rPr>
        <w:t>Coolen</w:t>
      </w:r>
      <w:proofErr w:type="spellEnd"/>
      <w:r w:rsidRPr="006E3B9F">
        <w:rPr>
          <w:rFonts w:ascii="Calibri" w:hAnsi="Calibri" w:cs="Calibri"/>
          <w:sz w:val="20"/>
          <w:szCs w:val="20"/>
        </w:rPr>
        <w:t>, Darlene Baxendale (5); University Hospital Southampton NHS Foundation Trust,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>Southampton, UK: Richard Holt, Jane Forbes, Nicki Martin, Fiona Walbridge (6); Galway University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Hospitals, Galway, Ireland: </w:t>
      </w:r>
      <w:proofErr w:type="spellStart"/>
      <w:r w:rsidRPr="006E3B9F">
        <w:rPr>
          <w:rFonts w:ascii="Calibri" w:hAnsi="Calibri" w:cs="Calibri"/>
          <w:sz w:val="20"/>
          <w:szCs w:val="20"/>
        </w:rPr>
        <w:t>Fidelma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Dunne, Sharon Conway, Aoife Egan, Collette </w:t>
      </w:r>
      <w:proofErr w:type="spellStart"/>
      <w:r w:rsidRPr="006E3B9F">
        <w:rPr>
          <w:rFonts w:ascii="Calibri" w:hAnsi="Calibri" w:cs="Calibri"/>
          <w:sz w:val="20"/>
          <w:szCs w:val="20"/>
        </w:rPr>
        <w:t>Kirwin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(4); Central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Manchester University Hospitals NHS Foundation Trust, Manchester, UK: Michael </w:t>
      </w:r>
      <w:proofErr w:type="spellStart"/>
      <w:r w:rsidRPr="006E3B9F">
        <w:rPr>
          <w:rFonts w:ascii="Calibri" w:hAnsi="Calibri" w:cs="Calibri"/>
          <w:sz w:val="20"/>
          <w:szCs w:val="20"/>
        </w:rPr>
        <w:t>Maresh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E3B9F">
        <w:rPr>
          <w:rFonts w:ascii="Calibri" w:hAnsi="Calibri" w:cs="Calibri"/>
          <w:sz w:val="20"/>
          <w:szCs w:val="20"/>
        </w:rPr>
        <w:t>Gretta</w:t>
      </w:r>
      <w:proofErr w:type="spellEnd"/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>Kearney, Juliet Morris, Susan Quinn (4); South Tees Hospitals, NHS Foundation Trust, Middlesbrough, UK: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  <w:r w:rsidRPr="006E3B9F">
        <w:rPr>
          <w:rFonts w:ascii="Calibri" w:hAnsi="Calibri" w:cs="Calibri"/>
          <w:sz w:val="20"/>
          <w:szCs w:val="20"/>
          <w:lang w:val="fr-FR"/>
        </w:rPr>
        <w:t xml:space="preserve">Rudy </w:t>
      </w:r>
      <w:proofErr w:type="spellStart"/>
      <w:r w:rsidRPr="006E3B9F">
        <w:rPr>
          <w:rFonts w:ascii="Calibri" w:hAnsi="Calibri" w:cs="Calibri"/>
          <w:sz w:val="20"/>
          <w:szCs w:val="20"/>
          <w:lang w:val="fr-FR"/>
        </w:rPr>
        <w:t>Bilous</w:t>
      </w:r>
      <w:proofErr w:type="spellEnd"/>
      <w:r w:rsidRPr="006E3B9F">
        <w:rPr>
          <w:rFonts w:ascii="Calibri" w:hAnsi="Calibri" w:cs="Calibri"/>
          <w:sz w:val="20"/>
          <w:szCs w:val="20"/>
          <w:lang w:val="fr-FR"/>
        </w:rPr>
        <w:t xml:space="preserve">, </w:t>
      </w:r>
      <w:proofErr w:type="spellStart"/>
      <w:r w:rsidRPr="006E3B9F">
        <w:rPr>
          <w:rFonts w:ascii="Calibri" w:hAnsi="Calibri" w:cs="Calibri"/>
          <w:sz w:val="20"/>
          <w:szCs w:val="20"/>
          <w:lang w:val="fr-FR"/>
        </w:rPr>
        <w:t>Rasha</w:t>
      </w:r>
      <w:proofErr w:type="spellEnd"/>
      <w:r w:rsidRPr="006E3B9F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  <w:lang w:val="fr-FR"/>
        </w:rPr>
        <w:t>Mukhtar</w:t>
      </w:r>
      <w:proofErr w:type="spellEnd"/>
      <w:r w:rsidRPr="006E3B9F">
        <w:rPr>
          <w:rFonts w:ascii="Calibri" w:hAnsi="Calibri" w:cs="Calibri"/>
          <w:sz w:val="20"/>
          <w:szCs w:val="20"/>
          <w:lang w:val="fr-FR"/>
        </w:rPr>
        <w:t xml:space="preserve"> (4); Centre de Recherche du Centre Hospitalier de Université de Montréal</w:t>
      </w:r>
    </w:p>
    <w:p w:rsidR="00452D1B" w:rsidRPr="00D652BC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  <w:r w:rsidRPr="00D652BC">
        <w:rPr>
          <w:rFonts w:ascii="Calibri" w:hAnsi="Calibri" w:cs="Calibri"/>
          <w:sz w:val="20"/>
          <w:szCs w:val="20"/>
          <w:lang w:val="fr-FR"/>
        </w:rPr>
        <w:t xml:space="preserve">(CR‐CHUM), </w:t>
      </w:r>
      <w:proofErr w:type="spellStart"/>
      <w:r w:rsidRPr="00D652BC">
        <w:rPr>
          <w:rFonts w:ascii="Calibri" w:hAnsi="Calibri" w:cs="Calibri"/>
          <w:sz w:val="20"/>
          <w:szCs w:val="20"/>
          <w:lang w:val="fr-FR"/>
        </w:rPr>
        <w:t>Montreal</w:t>
      </w:r>
      <w:proofErr w:type="spellEnd"/>
      <w:r w:rsidRPr="00D652BC">
        <w:rPr>
          <w:rFonts w:ascii="Calibri" w:hAnsi="Calibri" w:cs="Calibri"/>
          <w:sz w:val="20"/>
          <w:szCs w:val="20"/>
          <w:lang w:val="fr-FR"/>
        </w:rPr>
        <w:t xml:space="preserve">, Canada: Ariane Godbout, Sylvie Daigle (3); The Dudley Group NHS FT, </w:t>
      </w:r>
      <w:proofErr w:type="spellStart"/>
      <w:r w:rsidRPr="00D652BC">
        <w:rPr>
          <w:rFonts w:ascii="Calibri" w:hAnsi="Calibri" w:cs="Calibri"/>
          <w:sz w:val="20"/>
          <w:szCs w:val="20"/>
          <w:lang w:val="fr-FR"/>
        </w:rPr>
        <w:t>Russells</w:t>
      </w:r>
      <w:proofErr w:type="spellEnd"/>
      <w:r w:rsidRPr="00D652BC">
        <w:rPr>
          <w:rFonts w:ascii="Calibri" w:hAnsi="Calibri" w:cs="Calibri"/>
          <w:sz w:val="20"/>
          <w:szCs w:val="20"/>
          <w:lang w:val="fr-FR"/>
        </w:rPr>
        <w:t xml:space="preserve"> Hall</w:t>
      </w:r>
    </w:p>
    <w:p w:rsidR="00452D1B" w:rsidRPr="00D652BC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D652BC">
        <w:rPr>
          <w:rFonts w:ascii="Calibri" w:hAnsi="Calibri" w:cs="Calibri"/>
          <w:sz w:val="20"/>
          <w:szCs w:val="20"/>
          <w:lang w:val="fr-FR"/>
        </w:rPr>
        <w:t>Hospital</w:t>
      </w:r>
      <w:proofErr w:type="spellEnd"/>
      <w:r w:rsidRPr="00D652BC">
        <w:rPr>
          <w:rFonts w:ascii="Calibri" w:hAnsi="Calibri" w:cs="Calibri"/>
          <w:sz w:val="20"/>
          <w:szCs w:val="20"/>
          <w:lang w:val="fr-FR"/>
        </w:rPr>
        <w:t xml:space="preserve">, Dudley, UK: Alexandra </w:t>
      </w:r>
      <w:proofErr w:type="spellStart"/>
      <w:r w:rsidRPr="00D652BC">
        <w:rPr>
          <w:rFonts w:ascii="Calibri" w:hAnsi="Calibri" w:cs="Calibri"/>
          <w:sz w:val="20"/>
          <w:szCs w:val="20"/>
          <w:lang w:val="fr-FR"/>
        </w:rPr>
        <w:t>Lubina</w:t>
      </w:r>
      <w:proofErr w:type="spellEnd"/>
      <w:r w:rsidRPr="00D652BC">
        <w:rPr>
          <w:rFonts w:ascii="Calibri" w:hAnsi="Calibri" w:cs="Calibri"/>
          <w:sz w:val="20"/>
          <w:szCs w:val="20"/>
          <w:lang w:val="fr-FR"/>
        </w:rPr>
        <w:t xml:space="preserve"> Solomon, Margaret Jackson, Emma Paul, Julie Taylor (3); Kingston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General Hospital, Queen’s University, Kingston, Canada: Robyn </w:t>
      </w:r>
      <w:proofErr w:type="spellStart"/>
      <w:r w:rsidRPr="006E3B9F">
        <w:rPr>
          <w:rFonts w:ascii="Calibri" w:hAnsi="Calibri" w:cs="Calibri"/>
          <w:sz w:val="20"/>
          <w:szCs w:val="20"/>
        </w:rPr>
        <w:t>Houlden</w:t>
      </w:r>
      <w:proofErr w:type="spellEnd"/>
      <w:r w:rsidRPr="006E3B9F">
        <w:rPr>
          <w:rFonts w:ascii="Calibri" w:hAnsi="Calibri" w:cs="Calibri"/>
          <w:sz w:val="20"/>
          <w:szCs w:val="20"/>
        </w:rPr>
        <w:t>, Adriana Breen (3); Guys and St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>Thomas’ NHS Foundation Trust, London, UK: Anita Banerjee, Anna Brackenridge, Annette Briley, Anna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>Reid, Claire Singh (2); Royal University Hospital, Saskatoon, Canada: Jill Newstead‐Angel, Janet Baxter (2);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Grampian Diabetes Centre, Aberdeen, UK: Sam Philip, </w:t>
      </w:r>
      <w:proofErr w:type="spellStart"/>
      <w:r w:rsidRPr="006E3B9F">
        <w:rPr>
          <w:rFonts w:ascii="Calibri" w:hAnsi="Calibri" w:cs="Calibri"/>
          <w:sz w:val="20"/>
          <w:szCs w:val="20"/>
        </w:rPr>
        <w:t>Martyna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</w:rPr>
        <w:t>Chlost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Lynne Murray (2); William </w:t>
      </w:r>
      <w:proofErr w:type="spellStart"/>
      <w:r w:rsidRPr="006E3B9F">
        <w:rPr>
          <w:rFonts w:ascii="Calibri" w:hAnsi="Calibri" w:cs="Calibri"/>
          <w:sz w:val="20"/>
          <w:szCs w:val="20"/>
        </w:rPr>
        <w:t>Sansum</w:t>
      </w:r>
      <w:proofErr w:type="spellEnd"/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652BC">
        <w:rPr>
          <w:rFonts w:ascii="Calibri" w:hAnsi="Calibri" w:cs="Calibri"/>
          <w:sz w:val="20"/>
          <w:szCs w:val="20"/>
          <w:lang w:val="it-IT"/>
        </w:rPr>
        <w:t xml:space="preserve">Diabetes Center, Santa Barbara, USA: Kristin Castorino, Lois Jovanovic, Donna Frase (2). </w:t>
      </w:r>
      <w:r w:rsidRPr="006E3B9F">
        <w:rPr>
          <w:rFonts w:ascii="Calibri" w:hAnsi="Calibri" w:cs="Calibri"/>
          <w:sz w:val="20"/>
          <w:szCs w:val="20"/>
        </w:rPr>
        <w:t>The Centre for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Clinical Trial Support (CCTS) at the Sunnybrook Research Institute, Toronto, Canada: Sonya </w:t>
      </w:r>
      <w:proofErr w:type="spellStart"/>
      <w:r w:rsidRPr="006E3B9F">
        <w:rPr>
          <w:rFonts w:ascii="Calibri" w:hAnsi="Calibri" w:cs="Calibri"/>
          <w:sz w:val="20"/>
          <w:szCs w:val="20"/>
        </w:rPr>
        <w:t>Mergler</w:t>
      </w:r>
      <w:proofErr w:type="spellEnd"/>
      <w:r w:rsidRPr="006E3B9F">
        <w:rPr>
          <w:rFonts w:ascii="Calibri" w:hAnsi="Calibri" w:cs="Calibri"/>
          <w:sz w:val="20"/>
          <w:szCs w:val="20"/>
        </w:rPr>
        <w:t>,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Kathryn </w:t>
      </w:r>
      <w:proofErr w:type="spellStart"/>
      <w:r w:rsidRPr="006E3B9F">
        <w:rPr>
          <w:rFonts w:ascii="Calibri" w:hAnsi="Calibri" w:cs="Calibri"/>
          <w:sz w:val="20"/>
          <w:szCs w:val="20"/>
        </w:rPr>
        <w:t>Mangoff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, Johanna Sanchez, and Gail Klein. The </w:t>
      </w:r>
      <w:proofErr w:type="spellStart"/>
      <w:r w:rsidRPr="006E3B9F">
        <w:rPr>
          <w:rFonts w:ascii="Calibri" w:hAnsi="Calibri" w:cs="Calibri"/>
          <w:sz w:val="20"/>
          <w:szCs w:val="20"/>
        </w:rPr>
        <w:t>Jaeb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3B9F">
        <w:rPr>
          <w:rFonts w:ascii="Calibri" w:hAnsi="Calibri" w:cs="Calibri"/>
          <w:sz w:val="20"/>
          <w:szCs w:val="20"/>
        </w:rPr>
        <w:t>Center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for Health Research, Tampa, USA:</w:t>
      </w:r>
    </w:p>
    <w:p w:rsidR="00452D1B" w:rsidRPr="006E3B9F" w:rsidRDefault="00452D1B" w:rsidP="00452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B9F">
        <w:rPr>
          <w:rFonts w:ascii="Calibri" w:hAnsi="Calibri" w:cs="Calibri"/>
          <w:sz w:val="20"/>
          <w:szCs w:val="20"/>
        </w:rPr>
        <w:t xml:space="preserve">Katrina </w:t>
      </w:r>
      <w:proofErr w:type="spellStart"/>
      <w:r w:rsidRPr="006E3B9F">
        <w:rPr>
          <w:rFonts w:ascii="Calibri" w:hAnsi="Calibri" w:cs="Calibri"/>
          <w:sz w:val="20"/>
          <w:szCs w:val="20"/>
        </w:rPr>
        <w:t>Ruedy</w:t>
      </w:r>
      <w:proofErr w:type="spellEnd"/>
      <w:r w:rsidRPr="006E3B9F">
        <w:rPr>
          <w:rFonts w:ascii="Calibri" w:hAnsi="Calibri" w:cs="Calibri"/>
          <w:sz w:val="20"/>
          <w:szCs w:val="20"/>
        </w:rPr>
        <w:t xml:space="preserve"> and Craig </w:t>
      </w:r>
      <w:proofErr w:type="spellStart"/>
      <w:r w:rsidRPr="006E3B9F">
        <w:rPr>
          <w:rFonts w:ascii="Calibri" w:hAnsi="Calibri" w:cs="Calibri"/>
          <w:sz w:val="20"/>
          <w:szCs w:val="20"/>
        </w:rPr>
        <w:t>Kollman</w:t>
      </w:r>
      <w:proofErr w:type="spellEnd"/>
      <w:r w:rsidRPr="006E3B9F">
        <w:rPr>
          <w:rFonts w:ascii="Calibri" w:hAnsi="Calibri" w:cs="Calibri"/>
          <w:sz w:val="20"/>
          <w:szCs w:val="20"/>
        </w:rPr>
        <w:t>. Juvenile Diabetes Research Foundation (non‐clinical collaborators):</w:t>
      </w:r>
    </w:p>
    <w:p w:rsidR="00452D1B" w:rsidRPr="006E3B9F" w:rsidRDefault="00452D1B" w:rsidP="00452D1B">
      <w:pPr>
        <w:jc w:val="both"/>
        <w:rPr>
          <w:b/>
        </w:rPr>
      </w:pPr>
      <w:r w:rsidRPr="006E3B9F">
        <w:rPr>
          <w:rFonts w:ascii="Calibri" w:hAnsi="Calibri" w:cs="Calibri"/>
          <w:sz w:val="20"/>
          <w:szCs w:val="20"/>
        </w:rPr>
        <w:t xml:space="preserve">Olivia Lou and Marlon </w:t>
      </w:r>
      <w:proofErr w:type="spellStart"/>
      <w:r w:rsidRPr="006E3B9F">
        <w:rPr>
          <w:rFonts w:ascii="Calibri" w:hAnsi="Calibri" w:cs="Calibri"/>
          <w:sz w:val="20"/>
          <w:szCs w:val="20"/>
        </w:rPr>
        <w:t>Pragnell</w:t>
      </w:r>
      <w:proofErr w:type="spellEnd"/>
      <w:r w:rsidRPr="006E3B9F">
        <w:rPr>
          <w:rFonts w:ascii="Calibri" w:hAnsi="Calibri" w:cs="Calibri"/>
          <w:sz w:val="20"/>
          <w:szCs w:val="20"/>
        </w:rPr>
        <w:t>.</w:t>
      </w:r>
    </w:p>
    <w:p w:rsidR="00452D1B" w:rsidRPr="006E3B9F" w:rsidRDefault="00452D1B" w:rsidP="00452D1B">
      <w:pPr>
        <w:jc w:val="both"/>
        <w:rPr>
          <w:b/>
        </w:rPr>
      </w:pPr>
    </w:p>
    <w:p w:rsidR="00452D1B" w:rsidRPr="006E3B9F" w:rsidRDefault="00452D1B" w:rsidP="00452D1B">
      <w:pPr>
        <w:jc w:val="both"/>
        <w:rPr>
          <w:b/>
        </w:rPr>
      </w:pPr>
    </w:p>
    <w:p w:rsidR="00452D1B" w:rsidRPr="006E3B9F" w:rsidRDefault="00452D1B" w:rsidP="00452D1B">
      <w:pPr>
        <w:jc w:val="both"/>
        <w:rPr>
          <w:b/>
        </w:rPr>
      </w:pPr>
    </w:p>
    <w:p w:rsidR="00452D1B" w:rsidRPr="006E3B9F" w:rsidRDefault="00452D1B" w:rsidP="00452D1B">
      <w:pPr>
        <w:rPr>
          <w:b/>
        </w:rPr>
      </w:pPr>
      <w:r w:rsidRPr="006E3B9F">
        <w:rPr>
          <w:b/>
        </w:rPr>
        <w:br w:type="page"/>
      </w:r>
    </w:p>
    <w:p w:rsidR="00452D1B" w:rsidRPr="006E3B9F" w:rsidRDefault="00452D1B" w:rsidP="00452D1B">
      <w:pPr>
        <w:rPr>
          <w:b/>
        </w:rPr>
      </w:pPr>
      <w:r w:rsidRPr="006E3B9F">
        <w:rPr>
          <w:b/>
        </w:rPr>
        <w:lastRenderedPageBreak/>
        <w:t>Appendix</w:t>
      </w:r>
      <w:r w:rsidR="00CF416F">
        <w:rPr>
          <w:b/>
        </w:rPr>
        <w:t xml:space="preserve"> S</w:t>
      </w:r>
      <w:r w:rsidRPr="006E3B9F">
        <w:rPr>
          <w:b/>
        </w:rPr>
        <w:t>2</w:t>
      </w:r>
      <w:r w:rsidR="004E6E90">
        <w:rPr>
          <w:b/>
        </w:rPr>
        <w:t>:</w:t>
      </w:r>
      <w:r w:rsidRPr="006E3B9F">
        <w:rPr>
          <w:b/>
        </w:rPr>
        <w:t xml:space="preserve"> Definitions of outcomes used in the CONCEPTT trial. </w:t>
      </w:r>
    </w:p>
    <w:p w:rsidR="00452D1B" w:rsidRPr="006E3B9F" w:rsidRDefault="00452D1B" w:rsidP="00452D1B">
      <w:pPr>
        <w:rPr>
          <w:b/>
        </w:rPr>
      </w:pPr>
    </w:p>
    <w:p w:rsidR="00452D1B" w:rsidRPr="006E3B9F" w:rsidRDefault="00452D1B" w:rsidP="00452D1B">
      <w:r w:rsidRPr="006E3B9F">
        <w:rPr>
          <w:b/>
          <w:bCs/>
        </w:rPr>
        <w:t>Birth Injury is defined by any of the following</w:t>
      </w:r>
      <w:r w:rsidRPr="006E3B9F">
        <w:t xml:space="preserve">: </w:t>
      </w:r>
    </w:p>
    <w:p w:rsidR="00452D1B" w:rsidRPr="006E3B9F" w:rsidRDefault="00452D1B" w:rsidP="00452D1B">
      <w:pPr>
        <w:pStyle w:val="ListParagraph"/>
        <w:numPr>
          <w:ilvl w:val="0"/>
          <w:numId w:val="1"/>
        </w:numPr>
      </w:pPr>
      <w:r w:rsidRPr="006E3B9F">
        <w:t xml:space="preserve">Spinal cord injury </w:t>
      </w:r>
    </w:p>
    <w:p w:rsidR="00452D1B" w:rsidRPr="006E3B9F" w:rsidRDefault="00452D1B" w:rsidP="00452D1B">
      <w:pPr>
        <w:pStyle w:val="ListParagraph"/>
        <w:numPr>
          <w:ilvl w:val="0"/>
          <w:numId w:val="1"/>
        </w:numPr>
      </w:pPr>
      <w:r w:rsidRPr="006E3B9F">
        <w:t xml:space="preserve">Basal skull fracture or depressed skull fracture </w:t>
      </w:r>
    </w:p>
    <w:p w:rsidR="00452D1B" w:rsidRPr="006E3B9F" w:rsidRDefault="00452D1B" w:rsidP="00452D1B">
      <w:pPr>
        <w:pStyle w:val="ListParagraph"/>
        <w:numPr>
          <w:ilvl w:val="0"/>
          <w:numId w:val="1"/>
        </w:numPr>
      </w:pPr>
      <w:r w:rsidRPr="006E3B9F">
        <w:t xml:space="preserve">Clavicular fracture </w:t>
      </w:r>
    </w:p>
    <w:p w:rsidR="00452D1B" w:rsidRPr="006E3B9F" w:rsidRDefault="00452D1B" w:rsidP="00452D1B">
      <w:pPr>
        <w:pStyle w:val="ListParagraph"/>
        <w:numPr>
          <w:ilvl w:val="0"/>
          <w:numId w:val="1"/>
        </w:numPr>
      </w:pPr>
      <w:r w:rsidRPr="006E3B9F">
        <w:t>Long bone fracture (</w:t>
      </w:r>
      <w:proofErr w:type="spellStart"/>
      <w:r w:rsidRPr="006E3B9F">
        <w:t>humerus</w:t>
      </w:r>
      <w:proofErr w:type="spellEnd"/>
      <w:r w:rsidRPr="006E3B9F">
        <w:t xml:space="preserve">, radius, ulna, femur, tibia or fibula) </w:t>
      </w:r>
    </w:p>
    <w:p w:rsidR="00452D1B" w:rsidRPr="006E3B9F" w:rsidRDefault="00452D1B" w:rsidP="00452D1B">
      <w:pPr>
        <w:pStyle w:val="ListParagraph"/>
        <w:numPr>
          <w:ilvl w:val="0"/>
          <w:numId w:val="1"/>
        </w:numPr>
      </w:pPr>
      <w:r w:rsidRPr="006E3B9F">
        <w:t xml:space="preserve">Subdural or intracerebral </w:t>
      </w:r>
      <w:proofErr w:type="spellStart"/>
      <w:r w:rsidRPr="006E3B9F">
        <w:t>hemorrhage</w:t>
      </w:r>
      <w:proofErr w:type="spellEnd"/>
      <w:r w:rsidRPr="006E3B9F">
        <w:t xml:space="preserve"> of any kind [confirmed by cranial ultrasound, computerized tomography (CT) scan, or magnetic resonance imaging (MRI)]) </w:t>
      </w:r>
    </w:p>
    <w:p w:rsidR="00452D1B" w:rsidRPr="006E3B9F" w:rsidRDefault="00452D1B" w:rsidP="00452D1B">
      <w:pPr>
        <w:pStyle w:val="ListParagraph"/>
        <w:numPr>
          <w:ilvl w:val="0"/>
          <w:numId w:val="1"/>
        </w:numPr>
      </w:pPr>
      <w:r w:rsidRPr="006E3B9F">
        <w:t xml:space="preserve">Peripheral Nerve Injury/Brachial Plexus </w:t>
      </w:r>
    </w:p>
    <w:p w:rsidR="00452D1B" w:rsidRPr="006E3B9F" w:rsidRDefault="00452D1B" w:rsidP="00452D1B">
      <w:r w:rsidRPr="006E3B9F">
        <w:rPr>
          <w:b/>
        </w:rPr>
        <w:t xml:space="preserve">Composite </w:t>
      </w:r>
      <w:proofErr w:type="spellStart"/>
      <w:r w:rsidRPr="006E3B9F">
        <w:rPr>
          <w:b/>
        </w:rPr>
        <w:t>fetal</w:t>
      </w:r>
      <w:proofErr w:type="spellEnd"/>
      <w:r w:rsidRPr="006E3B9F">
        <w:rPr>
          <w:b/>
        </w:rPr>
        <w:t xml:space="preserve"> outcome includes one or more of the following:</w:t>
      </w:r>
    </w:p>
    <w:p w:rsidR="00452D1B" w:rsidRPr="006E3B9F" w:rsidRDefault="00452D1B" w:rsidP="00452D1B">
      <w:pPr>
        <w:pStyle w:val="ListParagraph"/>
        <w:numPr>
          <w:ilvl w:val="0"/>
          <w:numId w:val="2"/>
        </w:numPr>
      </w:pPr>
      <w:r w:rsidRPr="006E3B9F">
        <w:t>Pregnancy loss: miscarriage, stillbirth, neonatal death (death ≤28 days of life)</w:t>
      </w:r>
    </w:p>
    <w:p w:rsidR="00452D1B" w:rsidRPr="006E3B9F" w:rsidRDefault="00452D1B" w:rsidP="00452D1B">
      <w:pPr>
        <w:pStyle w:val="ListParagraph"/>
        <w:numPr>
          <w:ilvl w:val="0"/>
          <w:numId w:val="2"/>
        </w:numPr>
      </w:pPr>
      <w:r w:rsidRPr="006E3B9F">
        <w:t>Birth injury</w:t>
      </w:r>
    </w:p>
    <w:p w:rsidR="00452D1B" w:rsidRPr="006E3B9F" w:rsidRDefault="00452D1B" w:rsidP="00452D1B">
      <w:pPr>
        <w:pStyle w:val="ListParagraph"/>
        <w:numPr>
          <w:ilvl w:val="0"/>
          <w:numId w:val="2"/>
        </w:numPr>
      </w:pPr>
      <w:r w:rsidRPr="006E3B9F">
        <w:t>Neonatal hypoglycaemia</w:t>
      </w:r>
    </w:p>
    <w:p w:rsidR="00452D1B" w:rsidRPr="006E3B9F" w:rsidRDefault="00452D1B" w:rsidP="00452D1B">
      <w:pPr>
        <w:pStyle w:val="ListParagraph"/>
        <w:numPr>
          <w:ilvl w:val="0"/>
          <w:numId w:val="2"/>
        </w:numPr>
      </w:pPr>
      <w:r w:rsidRPr="006E3B9F">
        <w:t xml:space="preserve">Hyperbilirubinemia </w:t>
      </w:r>
    </w:p>
    <w:p w:rsidR="00452D1B" w:rsidRPr="006E3B9F" w:rsidRDefault="00452D1B" w:rsidP="00452D1B">
      <w:pPr>
        <w:pStyle w:val="ListParagraph"/>
        <w:numPr>
          <w:ilvl w:val="0"/>
          <w:numId w:val="2"/>
        </w:numPr>
      </w:pPr>
      <w:r w:rsidRPr="006E3B9F">
        <w:t xml:space="preserve">Respiratory distress </w:t>
      </w:r>
    </w:p>
    <w:p w:rsidR="00452D1B" w:rsidRPr="006E3B9F" w:rsidRDefault="00452D1B" w:rsidP="00452D1B">
      <w:pPr>
        <w:pStyle w:val="ListParagraph"/>
        <w:numPr>
          <w:ilvl w:val="0"/>
          <w:numId w:val="2"/>
        </w:numPr>
      </w:pPr>
      <w:r w:rsidRPr="006E3B9F">
        <w:t>High level neonatal care &gt; 24 hours.</w:t>
      </w:r>
    </w:p>
    <w:p w:rsidR="00452D1B" w:rsidRPr="006E3B9F" w:rsidRDefault="00452D1B" w:rsidP="00452D1B">
      <w:r w:rsidRPr="006E3B9F">
        <w:rPr>
          <w:b/>
          <w:bCs/>
        </w:rPr>
        <w:t xml:space="preserve">Hyperbilirubinemia: </w:t>
      </w:r>
    </w:p>
    <w:p w:rsidR="00452D1B" w:rsidRPr="006E3B9F" w:rsidRDefault="00452D1B" w:rsidP="00452D1B">
      <w:r w:rsidRPr="006E3B9F">
        <w:t xml:space="preserve">Significant jaundice based on bilirubin levels requiring treatment with either phototherapy &gt; 6 continuous hours, or an exchange transfusion, or receiving intravenous gamma globulin or requiring readmission into hospital during the first 7 days of life. </w:t>
      </w:r>
    </w:p>
    <w:p w:rsidR="00452D1B" w:rsidRPr="006E3B9F" w:rsidRDefault="00452D1B" w:rsidP="00452D1B">
      <w:r w:rsidRPr="006E3B9F">
        <w:rPr>
          <w:b/>
          <w:bCs/>
        </w:rPr>
        <w:t xml:space="preserve">Neonatal </w:t>
      </w:r>
      <w:proofErr w:type="spellStart"/>
      <w:r w:rsidRPr="006E3B9F">
        <w:rPr>
          <w:b/>
          <w:bCs/>
        </w:rPr>
        <w:t>hypoglycemia</w:t>
      </w:r>
      <w:proofErr w:type="spellEnd"/>
      <w:r w:rsidRPr="006E3B9F">
        <w:rPr>
          <w:b/>
          <w:bCs/>
        </w:rPr>
        <w:t xml:space="preserve">: </w:t>
      </w:r>
    </w:p>
    <w:p w:rsidR="00452D1B" w:rsidRPr="006E3B9F" w:rsidRDefault="00452D1B" w:rsidP="00452D1B">
      <w:r w:rsidRPr="006E3B9F">
        <w:t xml:space="preserve">A plasma glucose &lt;2.6 </w:t>
      </w:r>
      <w:proofErr w:type="spellStart"/>
      <w:r w:rsidRPr="006E3B9F">
        <w:t>mmol</w:t>
      </w:r>
      <w:proofErr w:type="spellEnd"/>
      <w:r w:rsidRPr="006E3B9F">
        <w:t xml:space="preserve">/L on one or more occasions, starting at 30-60 minutes after birth, and necessitating intravenous dextrose, within the first 48 hours of life. </w:t>
      </w:r>
    </w:p>
    <w:p w:rsidR="00452D1B" w:rsidRPr="006E3B9F" w:rsidRDefault="00452D1B" w:rsidP="00452D1B">
      <w:r w:rsidRPr="006E3B9F">
        <w:rPr>
          <w:b/>
          <w:bCs/>
        </w:rPr>
        <w:t xml:space="preserve">Preterm birth: </w:t>
      </w:r>
    </w:p>
    <w:p w:rsidR="00452D1B" w:rsidRPr="006E3B9F" w:rsidRDefault="00452D1B" w:rsidP="00452D1B">
      <w:r w:rsidRPr="006E3B9F">
        <w:t xml:space="preserve">Preterm birth (&lt;37 weeks and early preterm &lt;34 weeks). </w:t>
      </w:r>
    </w:p>
    <w:p w:rsidR="00452D1B" w:rsidRPr="006E3B9F" w:rsidRDefault="00452D1B" w:rsidP="00452D1B">
      <w:r w:rsidRPr="006E3B9F">
        <w:rPr>
          <w:b/>
          <w:bCs/>
        </w:rPr>
        <w:t xml:space="preserve">Respiratory distress: </w:t>
      </w:r>
    </w:p>
    <w:p w:rsidR="00452D1B" w:rsidRPr="006E3B9F" w:rsidRDefault="00452D1B" w:rsidP="00452D1B">
      <w:r w:rsidRPr="006E3B9F">
        <w:t xml:space="preserve">Respiratory difficulties requiring any positive pressure ventilation ≥ 24 hours beyond resuscitation period (10 minutes), and/or given surfactant within 72 hours after birth. </w:t>
      </w:r>
    </w:p>
    <w:p w:rsidR="00452D1B" w:rsidRPr="006E3B9F" w:rsidRDefault="00452D1B" w:rsidP="00452D1B">
      <w:r w:rsidRPr="006E3B9F">
        <w:rPr>
          <w:b/>
          <w:bCs/>
        </w:rPr>
        <w:t xml:space="preserve">Shoulder Dystocia: </w:t>
      </w:r>
    </w:p>
    <w:p w:rsidR="00452D1B" w:rsidRDefault="00452D1B" w:rsidP="00452D1B">
      <w:r w:rsidRPr="006E3B9F">
        <w:t xml:space="preserve">Documentation of any shoulder dystocia in the delivery records, plus 3 or more of the following: </w:t>
      </w:r>
      <w:proofErr w:type="spellStart"/>
      <w:r w:rsidRPr="006E3B9F">
        <w:t>McRoberts</w:t>
      </w:r>
      <w:proofErr w:type="spellEnd"/>
      <w:r w:rsidRPr="006E3B9F">
        <w:t xml:space="preserve"> </w:t>
      </w:r>
      <w:proofErr w:type="spellStart"/>
      <w:r w:rsidRPr="006E3B9F">
        <w:t>maneuver</w:t>
      </w:r>
      <w:proofErr w:type="spellEnd"/>
      <w:r w:rsidRPr="006E3B9F">
        <w:t xml:space="preserve">, suprapubic </w:t>
      </w:r>
      <w:proofErr w:type="spellStart"/>
      <w:r w:rsidRPr="006E3B9F">
        <w:t>maneuver</w:t>
      </w:r>
      <w:proofErr w:type="spellEnd"/>
      <w:r w:rsidRPr="006E3B9F">
        <w:t xml:space="preserve">, episiotomy, delivery of the posterior arm, Woods </w:t>
      </w:r>
      <w:proofErr w:type="spellStart"/>
      <w:r w:rsidRPr="006E3B9F">
        <w:t>maneuver</w:t>
      </w:r>
      <w:proofErr w:type="spellEnd"/>
      <w:r w:rsidRPr="006E3B9F">
        <w:t xml:space="preserve">, </w:t>
      </w:r>
      <w:proofErr w:type="spellStart"/>
      <w:r w:rsidRPr="006E3B9F">
        <w:t>Rubins</w:t>
      </w:r>
      <w:proofErr w:type="spellEnd"/>
      <w:r w:rsidRPr="006E3B9F">
        <w:t xml:space="preserve"> </w:t>
      </w:r>
      <w:proofErr w:type="spellStart"/>
      <w:r w:rsidRPr="006E3B9F">
        <w:t>maneuver</w:t>
      </w:r>
      <w:proofErr w:type="spellEnd"/>
      <w:r w:rsidRPr="006E3B9F">
        <w:t xml:space="preserve">, All fours Gaskins </w:t>
      </w:r>
      <w:proofErr w:type="spellStart"/>
      <w:r w:rsidRPr="006E3B9F">
        <w:t>maneuver</w:t>
      </w:r>
      <w:proofErr w:type="spellEnd"/>
      <w:r w:rsidRPr="006E3B9F">
        <w:t xml:space="preserve">, intentional fracture of the clavicle, and/or </w:t>
      </w:r>
      <w:proofErr w:type="spellStart"/>
      <w:r w:rsidRPr="006E3B9F">
        <w:t>Zavenelli</w:t>
      </w:r>
      <w:proofErr w:type="spellEnd"/>
      <w:r w:rsidRPr="006E3B9F">
        <w:t xml:space="preserve"> </w:t>
      </w:r>
      <w:proofErr w:type="spellStart"/>
      <w:r w:rsidRPr="006E3B9F">
        <w:t>maneuver</w:t>
      </w:r>
      <w:proofErr w:type="spellEnd"/>
      <w:r w:rsidRPr="006E3B9F">
        <w:t>.</w:t>
      </w:r>
      <w:r>
        <w:t xml:space="preserve"> </w:t>
      </w:r>
    </w:p>
    <w:p w:rsidR="00452D1B" w:rsidRDefault="00452D1B" w:rsidP="00452D1B"/>
    <w:p w:rsidR="00452D1B" w:rsidRDefault="00452D1B" w:rsidP="00452D1B"/>
    <w:p w:rsidR="00452D1B" w:rsidRDefault="00CF416F" w:rsidP="00452D1B">
      <w:pPr>
        <w:jc w:val="both"/>
      </w:pPr>
      <w:r>
        <w:rPr>
          <w:b/>
        </w:rPr>
        <w:lastRenderedPageBreak/>
        <w:t>Table S</w:t>
      </w:r>
      <w:r w:rsidR="00452D1B" w:rsidRPr="00B70A5B">
        <w:rPr>
          <w:b/>
        </w:rPr>
        <w:t>1</w:t>
      </w:r>
      <w:r>
        <w:rPr>
          <w:b/>
        </w:rPr>
        <w:t>:</w:t>
      </w:r>
      <w:r w:rsidR="00452D1B">
        <w:t xml:space="preserve"> Comparison of GROW, INTERGROWTH and WHO growth standards in infants born to women of European/Mediterranean ethnicity and women of other ethnic groups.  Data are presented as mean (SD) or n (%). </w:t>
      </w:r>
    </w:p>
    <w:tbl>
      <w:tblPr>
        <w:tblStyle w:val="ListTable2-Accent31"/>
        <w:tblW w:w="0" w:type="auto"/>
        <w:tblLook w:val="04A0" w:firstRow="1" w:lastRow="0" w:firstColumn="1" w:lastColumn="0" w:noHBand="0" w:noVBand="1"/>
      </w:tblPr>
      <w:tblGrid>
        <w:gridCol w:w="3119"/>
        <w:gridCol w:w="1969"/>
        <w:gridCol w:w="1969"/>
        <w:gridCol w:w="1969"/>
      </w:tblGrid>
      <w:tr w:rsidR="00452D1B" w:rsidRPr="00A94B51" w:rsidTr="0004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</w:tcPr>
          <w:p w:rsidR="00452D1B" w:rsidRDefault="00452D1B" w:rsidP="00042883">
            <w:r w:rsidRPr="00A94B51">
              <w:t>BIRTHWEIGHT MEASURES</w:t>
            </w:r>
          </w:p>
          <w:p w:rsidR="00452D1B" w:rsidRPr="00A94B51" w:rsidRDefault="00452D1B" w:rsidP="00042883"/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 xml:space="preserve">All </w:t>
            </w:r>
            <w:r>
              <w:t>infants</w:t>
            </w: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n=225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Mediterranean/</w:t>
            </w:r>
          </w:p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 xml:space="preserve">European ethnicity </w:t>
            </w: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n=194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Other ethnic groups</w:t>
            </w: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n=31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>
              <w:t xml:space="preserve">Birthweight </w:t>
            </w:r>
            <w:r w:rsidRPr="00A94B51">
              <w:t>g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3583.6</w:t>
            </w:r>
            <w:r w:rsidRPr="00A94B51">
              <w:t xml:space="preserve"> (705)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3606.3 (688)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3441.4 (800)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Macrosomia &gt;=4kg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59 (26.2)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 (28.4)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observations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82.1 (25.9)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82.0 (25.9)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82.0 (25.9)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85.7 (20.8)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85.9 (20.6)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84.3 (22.4)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63.9 (32.0)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64.4 (31.5)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60.5 (35.2)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&gt;90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 (62.2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 (61.3)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(64.5)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&gt;90</w:t>
            </w:r>
            <w:r w:rsidRPr="00A94B51">
              <w:rPr>
                <w:vertAlign w:val="superscript"/>
              </w:rPr>
              <w:t xml:space="preserve">th </w:t>
            </w:r>
            <w:r w:rsidRPr="00A94B51">
              <w:t>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150 (66.7)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 (67.0)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(64.5)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&gt;90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 (29.8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 (30.4)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(25.8)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(2.2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(1.55)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(3.2)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3 (1.3)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(1.0)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(3.2)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20 (8.9)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(7.7)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(16.1)</w:t>
            </w:r>
          </w:p>
        </w:tc>
      </w:tr>
    </w:tbl>
    <w:p w:rsidR="00452D1B" w:rsidRDefault="00452D1B" w:rsidP="00452D1B"/>
    <w:p w:rsidR="00452D1B" w:rsidRDefault="00452D1B" w:rsidP="00452D1B"/>
    <w:p w:rsidR="00CF416F" w:rsidRDefault="00CF416F">
      <w:pPr>
        <w:rPr>
          <w:b/>
        </w:rPr>
      </w:pPr>
      <w:r>
        <w:rPr>
          <w:b/>
        </w:rPr>
        <w:br w:type="page"/>
      </w:r>
    </w:p>
    <w:p w:rsidR="00452D1B" w:rsidRDefault="00CF416F" w:rsidP="00452D1B">
      <w:pPr>
        <w:jc w:val="both"/>
      </w:pPr>
      <w:r>
        <w:rPr>
          <w:b/>
        </w:rPr>
        <w:lastRenderedPageBreak/>
        <w:t>Table</w:t>
      </w:r>
      <w:r w:rsidR="00452D1B" w:rsidRPr="00B70A5B">
        <w:rPr>
          <w:b/>
        </w:rPr>
        <w:t xml:space="preserve"> S</w:t>
      </w:r>
      <w:r w:rsidR="00452D1B">
        <w:rPr>
          <w:b/>
        </w:rPr>
        <w:t>2</w:t>
      </w:r>
      <w:r>
        <w:rPr>
          <w:b/>
        </w:rPr>
        <w:t>:</w:t>
      </w:r>
      <w:r w:rsidR="00452D1B">
        <w:t xml:space="preserve"> Comparison of GROW, INTERGROWTH and WHO growth standards in male and female infants.  Data are presented as mean (SD) or n (%). </w:t>
      </w:r>
    </w:p>
    <w:tbl>
      <w:tblPr>
        <w:tblStyle w:val="ListTable2-Accent31"/>
        <w:tblW w:w="0" w:type="auto"/>
        <w:tblLook w:val="04A0" w:firstRow="1" w:lastRow="0" w:firstColumn="1" w:lastColumn="0" w:noHBand="0" w:noVBand="1"/>
      </w:tblPr>
      <w:tblGrid>
        <w:gridCol w:w="3119"/>
        <w:gridCol w:w="1969"/>
        <w:gridCol w:w="1969"/>
        <w:gridCol w:w="1969"/>
      </w:tblGrid>
      <w:tr w:rsidR="00452D1B" w:rsidRPr="00A94B51" w:rsidTr="0004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</w:tcPr>
          <w:p w:rsidR="00452D1B" w:rsidRDefault="00452D1B" w:rsidP="00042883">
            <w:r w:rsidRPr="00A94B51">
              <w:t>BIRTHWEIGHT MEASURES</w:t>
            </w:r>
          </w:p>
          <w:p w:rsidR="00452D1B" w:rsidRPr="00A94B51" w:rsidRDefault="00452D1B" w:rsidP="00042883"/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 xml:space="preserve">All </w:t>
            </w:r>
            <w:r>
              <w:t>infants</w:t>
            </w: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n=225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 infants</w:t>
            </w:r>
          </w:p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n=115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 infants</w:t>
            </w:r>
          </w:p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n=110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>
              <w:t xml:space="preserve">Birthweight </w:t>
            </w:r>
            <w:r w:rsidRPr="00A94B51">
              <w:t>g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3583.6</w:t>
            </w:r>
            <w:r w:rsidRPr="00A94B51">
              <w:t xml:space="preserve"> (705)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3588.6 (695)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3578.3 (719)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Macrosomia &gt;=4kg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59 (26.2)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(25.2)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(27.3)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82.1 (25.9)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81.9 (25.5)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83.1 (25.2)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85.7 (20.8)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85.9 (19.9)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85.4 (21.8)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63.9 (32.0)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61.8 (31.6)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66.1 (32.3)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&gt;90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 (62.2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 (62.6)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 (60.9)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&gt;90</w:t>
            </w:r>
            <w:r w:rsidRPr="00A94B51">
              <w:rPr>
                <w:vertAlign w:val="superscript"/>
              </w:rPr>
              <w:t xml:space="preserve">th </w:t>
            </w:r>
            <w:r w:rsidRPr="00A94B51">
              <w:t>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150 (66.7)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 (67.8)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 (65.5)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&gt;90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 (29.8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(25.2)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 (34.6)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(2.2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(0.9)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(2.7)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3 (1.3)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(1.8)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20 (8.9)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(8.7)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(9.1)</w:t>
            </w:r>
          </w:p>
        </w:tc>
      </w:tr>
    </w:tbl>
    <w:p w:rsidR="00452D1B" w:rsidRDefault="00452D1B" w:rsidP="00452D1B"/>
    <w:p w:rsidR="00452D1B" w:rsidRDefault="00452D1B" w:rsidP="00452D1B"/>
    <w:p w:rsidR="00452D1B" w:rsidRDefault="00452D1B" w:rsidP="00452D1B">
      <w:pPr>
        <w:rPr>
          <w:b/>
        </w:rPr>
      </w:pPr>
      <w:r>
        <w:rPr>
          <w:b/>
        </w:rPr>
        <w:br w:type="page"/>
      </w:r>
    </w:p>
    <w:p w:rsidR="00452D1B" w:rsidRDefault="00CF416F" w:rsidP="00452D1B">
      <w:pPr>
        <w:jc w:val="both"/>
      </w:pPr>
      <w:r>
        <w:rPr>
          <w:b/>
        </w:rPr>
        <w:lastRenderedPageBreak/>
        <w:t>Table S</w:t>
      </w:r>
      <w:r w:rsidR="00452D1B">
        <w:rPr>
          <w:b/>
        </w:rPr>
        <w:t>3</w:t>
      </w:r>
      <w:r>
        <w:rPr>
          <w:b/>
        </w:rPr>
        <w:t>:</w:t>
      </w:r>
      <w:r w:rsidR="00452D1B">
        <w:t xml:space="preserve"> Comparison of GROW, INTERGROWTH and WHO growth standards in infants delivered at term or preterm.  Data are presented as mean (SD) or n (%). </w:t>
      </w:r>
    </w:p>
    <w:tbl>
      <w:tblPr>
        <w:tblStyle w:val="ListTable2-Accent31"/>
        <w:tblW w:w="0" w:type="auto"/>
        <w:tblLook w:val="04A0" w:firstRow="1" w:lastRow="0" w:firstColumn="1" w:lastColumn="0" w:noHBand="0" w:noVBand="1"/>
      </w:tblPr>
      <w:tblGrid>
        <w:gridCol w:w="3119"/>
        <w:gridCol w:w="1969"/>
        <w:gridCol w:w="1969"/>
        <w:gridCol w:w="1969"/>
      </w:tblGrid>
      <w:tr w:rsidR="00452D1B" w:rsidRPr="00A94B51" w:rsidTr="0004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</w:tcPr>
          <w:p w:rsidR="00452D1B" w:rsidRDefault="00452D1B" w:rsidP="00042883">
            <w:r w:rsidRPr="00A94B51">
              <w:t>BIRTHWEIGHT MEASURES</w:t>
            </w:r>
          </w:p>
          <w:p w:rsidR="00452D1B" w:rsidRPr="00A94B51" w:rsidRDefault="00452D1B" w:rsidP="00042883"/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 xml:space="preserve">All </w:t>
            </w:r>
            <w:r>
              <w:t>infants</w:t>
            </w: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n=225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 infants</w:t>
            </w:r>
          </w:p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n=136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Preterm infants</w:t>
            </w:r>
          </w:p>
          <w:p w:rsidR="00452D1B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D1B" w:rsidRPr="00A94B51" w:rsidRDefault="00452D1B" w:rsidP="0004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n=89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>
              <w:t xml:space="preserve">Birthweight </w:t>
            </w:r>
            <w:r w:rsidRPr="00A94B51">
              <w:t>g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3583.6</w:t>
            </w:r>
            <w:r w:rsidRPr="00A94B51">
              <w:t xml:space="preserve"> (705)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3787.0 (606)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3272.7 (735)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Macrosomia &gt;=4kg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59 (26.2)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(33.1)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(15.7)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82.1 (25.9)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81.6 (25.0)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84.0 (25.8)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85.7 (20.8)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85.4 (20.8)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86.2 (21.0)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63.9 (32.0)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73.3 (26.7)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 (34.0)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&gt;90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 (62.2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 (58.8)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 (66.3)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&gt;90</w:t>
            </w:r>
            <w:r w:rsidRPr="00A94B51">
              <w:rPr>
                <w:vertAlign w:val="superscript"/>
              </w:rPr>
              <w:t xml:space="preserve">th </w:t>
            </w:r>
            <w:r w:rsidRPr="00A94B51">
              <w:t>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150 (66.7)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 (66.9)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 (66.3)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&gt;90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 (29.8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 (38.2)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(16.9)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GROW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(2.2</w:t>
            </w:r>
            <w:r w:rsidRPr="00A94B51">
              <w:t>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(0.7)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(3.4)</w:t>
            </w:r>
          </w:p>
        </w:tc>
      </w:tr>
      <w:tr w:rsidR="00452D1B" w:rsidRPr="00A94B51" w:rsidTr="0004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INTERGROWTH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51">
              <w:t>3 (1.3)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(0.7)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(2.3)</w:t>
            </w:r>
          </w:p>
        </w:tc>
      </w:tr>
      <w:tr w:rsidR="00452D1B" w:rsidRPr="00A94B51" w:rsidTr="0004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452D1B" w:rsidRPr="00A94B51" w:rsidRDefault="00452D1B" w:rsidP="00042883">
            <w:r w:rsidRPr="00A94B51">
              <w:t>WHO &lt;10</w:t>
            </w:r>
            <w:r w:rsidRPr="00A94B51">
              <w:rPr>
                <w:vertAlign w:val="superscript"/>
              </w:rPr>
              <w:t>th</w:t>
            </w:r>
            <w:r w:rsidRPr="00A94B51">
              <w:t xml:space="preserve"> centile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51">
              <w:t>20 (8.9)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(2.9)</w:t>
            </w:r>
          </w:p>
        </w:tc>
        <w:tc>
          <w:tcPr>
            <w:tcW w:w="1969" w:type="dxa"/>
            <w:shd w:val="clear" w:color="auto" w:fill="auto"/>
          </w:tcPr>
          <w:p w:rsidR="00452D1B" w:rsidRPr="00A94B51" w:rsidRDefault="00452D1B" w:rsidP="0004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(18.0)</w:t>
            </w:r>
          </w:p>
        </w:tc>
      </w:tr>
    </w:tbl>
    <w:p w:rsidR="00452D1B" w:rsidRDefault="00452D1B" w:rsidP="00452D1B"/>
    <w:p w:rsidR="00452D1B" w:rsidRDefault="00452D1B" w:rsidP="00452D1B"/>
    <w:p w:rsidR="00C834B7" w:rsidRDefault="00C834B7"/>
    <w:sectPr w:rsidR="00C8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964"/>
    <w:multiLevelType w:val="hybridMultilevel"/>
    <w:tmpl w:val="0020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7C16"/>
    <w:multiLevelType w:val="hybridMultilevel"/>
    <w:tmpl w:val="48AC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1B"/>
    <w:rsid w:val="00452D1B"/>
    <w:rsid w:val="004E6E90"/>
    <w:rsid w:val="006F3ED5"/>
    <w:rsid w:val="00B312DC"/>
    <w:rsid w:val="00C834B7"/>
    <w:rsid w:val="00C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CBAF"/>
  <w15:chartTrackingRefBased/>
  <w15:docId w15:val="{1FBE9574-5A4F-49C5-BC38-120C952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1B"/>
    <w:pPr>
      <w:spacing w:after="200" w:line="276" w:lineRule="auto"/>
      <w:ind w:left="720"/>
      <w:contextualSpacing/>
    </w:pPr>
  </w:style>
  <w:style w:type="table" w:customStyle="1" w:styleId="ListTable2-Accent31">
    <w:name w:val="List Table 2 - Accent 31"/>
    <w:basedOn w:val="TableNormal"/>
    <w:uiPriority w:val="47"/>
    <w:rsid w:val="00452D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1245</Words>
  <Characters>7100</Characters>
  <Application>Microsoft Office Word</Application>
  <DocSecurity>0</DocSecurity>
  <Lines>59</Lines>
  <Paragraphs>16</Paragraphs>
  <ScaleCrop>false</ScaleCrop>
  <Company>Clinical School Computing Service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Kusinski</dc:creator>
  <cp:keywords/>
  <dc:description/>
  <cp:lastModifiedBy>Admin</cp:lastModifiedBy>
  <cp:revision>5</cp:revision>
  <dcterms:created xsi:type="dcterms:W3CDTF">2020-02-17T12:27:00Z</dcterms:created>
  <dcterms:modified xsi:type="dcterms:W3CDTF">2020-05-01T13:06:00Z</dcterms:modified>
</cp:coreProperties>
</file>