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6" w:rsidRDefault="000622A6" w:rsidP="000622A6">
      <w:pPr>
        <w:ind w:right="90"/>
        <w:rPr>
          <w:color w:val="171717"/>
          <w:vertAlign w:val="superscript"/>
        </w:rPr>
      </w:pPr>
      <w:bookmarkStart w:id="0" w:name="_GoBack"/>
      <w:bookmarkEnd w:id="0"/>
      <w:r>
        <w:rPr>
          <w:color w:val="171717"/>
        </w:rPr>
        <w:t xml:space="preserve">Supplementary Table S2. </w:t>
      </w:r>
      <w:r w:rsidRPr="00EF0E38">
        <w:rPr>
          <w:color w:val="171717"/>
        </w:rPr>
        <w:t xml:space="preserve">The distribution of BCGs </w:t>
      </w:r>
      <w:proofErr w:type="gramStart"/>
      <w:r w:rsidRPr="00EF0E38">
        <w:rPr>
          <w:color w:val="171717"/>
        </w:rPr>
        <w:t xml:space="preserve">of  </w:t>
      </w:r>
      <w:r w:rsidRPr="00EF0E38">
        <w:rPr>
          <w:i/>
          <w:iCs/>
          <w:color w:val="171717"/>
        </w:rPr>
        <w:t>Pseudonocardia</w:t>
      </w:r>
      <w:proofErr w:type="gramEnd"/>
      <w:r w:rsidRPr="00EF0E38">
        <w:rPr>
          <w:i/>
          <w:iCs/>
          <w:color w:val="171717"/>
        </w:rPr>
        <w:t xml:space="preserve"> </w:t>
      </w:r>
      <w:proofErr w:type="spellStart"/>
      <w:r w:rsidRPr="00EF0E38">
        <w:rPr>
          <w:i/>
          <w:iCs/>
          <w:color w:val="171717"/>
        </w:rPr>
        <w:t>pini</w:t>
      </w:r>
      <w:proofErr w:type="spellEnd"/>
      <w:r>
        <w:rPr>
          <w:color w:val="171717"/>
        </w:rPr>
        <w:t xml:space="preserve"> CAP47R</w:t>
      </w:r>
      <w:r>
        <w:rPr>
          <w:color w:val="171717"/>
          <w:vertAlign w:val="superscript"/>
        </w:rPr>
        <w:t>T</w:t>
      </w:r>
    </w:p>
    <w:p w:rsidR="000622A6" w:rsidRPr="00EF0E38" w:rsidRDefault="000622A6" w:rsidP="000622A6">
      <w:pPr>
        <w:ind w:right="90"/>
        <w:rPr>
          <w:color w:val="171717"/>
          <w:vertAlign w:val="superscript"/>
        </w:rPr>
      </w:pPr>
    </w:p>
    <w:tbl>
      <w:tblPr>
        <w:tblW w:w="1056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610"/>
        <w:gridCol w:w="1567"/>
        <w:gridCol w:w="1223"/>
        <w:gridCol w:w="2473"/>
        <w:gridCol w:w="1166"/>
      </w:tblGrid>
      <w:tr w:rsidR="000622A6" w:rsidRPr="000F73A6" w:rsidTr="000622A6">
        <w:trPr>
          <w:trHeight w:val="677"/>
        </w:trPr>
        <w:tc>
          <w:tcPr>
            <w:tcW w:w="153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Gene type</w:t>
            </w:r>
          </w:p>
        </w:tc>
        <w:tc>
          <w:tcPr>
            <w:tcW w:w="261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product</w:t>
            </w:r>
          </w:p>
        </w:tc>
        <w:tc>
          <w:tcPr>
            <w:tcW w:w="1567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Span (</w:t>
            </w:r>
            <w:proofErr w:type="spellStart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nt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Gene similarity</w:t>
            </w:r>
          </w:p>
        </w:tc>
        <w:tc>
          <w:tcPr>
            <w:tcW w:w="247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Most similar biosynthetic gene cluster</w:t>
            </w:r>
          </w:p>
        </w:tc>
        <w:tc>
          <w:tcPr>
            <w:tcW w:w="1166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similarity</w:t>
            </w:r>
          </w:p>
        </w:tc>
      </w:tr>
      <w:tr w:rsidR="000622A6" w:rsidRPr="000F73A6" w:rsidTr="000622A6">
        <w:trPr>
          <w:trHeight w:val="598"/>
        </w:trPr>
        <w:tc>
          <w:tcPr>
            <w:tcW w:w="153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NRPS Siderophore</w:t>
            </w:r>
          </w:p>
        </w:tc>
        <w:tc>
          <w:tcPr>
            <w:tcW w:w="261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proofErr w:type="spellStart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bacillibactin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 </w:t>
            </w:r>
            <w:proofErr w:type="spellStart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siderophore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1 - 4,385</w:t>
            </w:r>
          </w:p>
        </w:tc>
        <w:tc>
          <w:tcPr>
            <w:tcW w:w="122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shd w:val="clear" w:color="auto" w:fill="FFFFFF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60%</w:t>
            </w:r>
          </w:p>
        </w:tc>
        <w:tc>
          <w:tcPr>
            <w:tcW w:w="247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proofErr w:type="spellStart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>Pseudonocardia</w:t>
            </w:r>
            <w:proofErr w:type="spellEnd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 xml:space="preserve"> </w:t>
            </w:r>
            <w:proofErr w:type="spellStart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>autotrophica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 NRRL B-16064 </w:t>
            </w:r>
          </w:p>
        </w:tc>
        <w:tc>
          <w:tcPr>
            <w:tcW w:w="1166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15%</w:t>
            </w:r>
          </w:p>
        </w:tc>
      </w:tr>
      <w:tr w:rsidR="000622A6" w:rsidRPr="000F73A6" w:rsidTr="000622A6">
        <w:trPr>
          <w:trHeight w:val="677"/>
        </w:trPr>
        <w:tc>
          <w:tcPr>
            <w:tcW w:w="153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Polyketide</w:t>
            </w:r>
          </w:p>
        </w:tc>
        <w:tc>
          <w:tcPr>
            <w:tcW w:w="261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proofErr w:type="spellStart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alkylresorcinol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 </w:t>
            </w:r>
          </w:p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color w:val="0D0D0D" w:themeColor="text1" w:themeTint="F2"/>
              </w:rPr>
              <w:t>(</w:t>
            </w:r>
            <w:hyperlink r:id="rId4" w:tooltip="Learn more about Antioxidant Activity from ScienceDirect's AI-generated Topic Pages" w:history="1">
              <w:r w:rsidRPr="000622A6">
                <w:rPr>
                  <w:rStyle w:val="a3"/>
                  <w:rFonts w:eastAsia="Calibri"/>
                  <w:color w:val="0D0D0D" w:themeColor="text1" w:themeTint="F2"/>
                  <w:u w:val="none"/>
                </w:rPr>
                <w:t>antioxidant activities</w:t>
              </w:r>
            </w:hyperlink>
            <w:r w:rsidRPr="000622A6">
              <w:rPr>
                <w:rStyle w:val="a3"/>
                <w:rFonts w:eastAsia="Calibri"/>
                <w:color w:val="0D0D0D" w:themeColor="text1" w:themeTint="F2"/>
                <w:u w:val="none"/>
              </w:rPr>
              <w:t>)</w:t>
            </w:r>
          </w:p>
        </w:tc>
        <w:tc>
          <w:tcPr>
            <w:tcW w:w="1567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1 - 1,868 </w:t>
            </w:r>
          </w:p>
        </w:tc>
        <w:tc>
          <w:tcPr>
            <w:tcW w:w="122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100%</w:t>
            </w:r>
          </w:p>
        </w:tc>
        <w:tc>
          <w:tcPr>
            <w:tcW w:w="247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 xml:space="preserve">Streptomyces </w:t>
            </w:r>
            <w:proofErr w:type="spellStart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>afghaniensis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 772 STAFG </w:t>
            </w:r>
          </w:p>
        </w:tc>
        <w:tc>
          <w:tcPr>
            <w:tcW w:w="1166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12%</w:t>
            </w:r>
          </w:p>
        </w:tc>
      </w:tr>
      <w:tr w:rsidR="000622A6" w:rsidRPr="000F73A6" w:rsidTr="000622A6">
        <w:trPr>
          <w:trHeight w:val="319"/>
        </w:trPr>
        <w:tc>
          <w:tcPr>
            <w:tcW w:w="153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Other</w:t>
            </w:r>
          </w:p>
        </w:tc>
        <w:tc>
          <w:tcPr>
            <w:tcW w:w="2610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proofErr w:type="spellStart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ectoine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1 - 7,862 </w:t>
            </w:r>
          </w:p>
        </w:tc>
        <w:tc>
          <w:tcPr>
            <w:tcW w:w="122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shd w:val="clear" w:color="auto" w:fill="FFFFFF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100%</w:t>
            </w:r>
          </w:p>
        </w:tc>
        <w:tc>
          <w:tcPr>
            <w:tcW w:w="2473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proofErr w:type="spellStart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>Pseudonocardia</w:t>
            </w:r>
            <w:proofErr w:type="spellEnd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 xml:space="preserve"> </w:t>
            </w:r>
            <w:proofErr w:type="spellStart"/>
            <w:r w:rsidRPr="000622A6">
              <w:rPr>
                <w:rFonts w:eastAsia="Calibri"/>
                <w:i/>
                <w:iCs/>
                <w:color w:val="0D0D0D" w:themeColor="text1" w:themeTint="F2"/>
                <w:lang w:val="en-US" w:eastAsia="en-US" w:bidi="th-TH"/>
              </w:rPr>
              <w:t>autotrophica</w:t>
            </w:r>
            <w:proofErr w:type="spellEnd"/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 xml:space="preserve"> NRRL B-16064 </w:t>
            </w:r>
          </w:p>
        </w:tc>
        <w:tc>
          <w:tcPr>
            <w:tcW w:w="1166" w:type="dxa"/>
            <w:shd w:val="clear" w:color="auto" w:fill="auto"/>
          </w:tcPr>
          <w:p w:rsidR="000622A6" w:rsidRPr="000622A6" w:rsidRDefault="000622A6" w:rsidP="005E5291">
            <w:pPr>
              <w:rPr>
                <w:rFonts w:eastAsia="Calibri"/>
                <w:color w:val="0D0D0D" w:themeColor="text1" w:themeTint="F2"/>
                <w:lang w:val="en-US" w:eastAsia="en-US" w:bidi="th-TH"/>
              </w:rPr>
            </w:pPr>
            <w:r w:rsidRPr="000622A6">
              <w:rPr>
                <w:rFonts w:eastAsia="Calibri"/>
                <w:color w:val="0D0D0D" w:themeColor="text1" w:themeTint="F2"/>
                <w:lang w:val="en-US" w:eastAsia="en-US" w:bidi="th-TH"/>
              </w:rPr>
              <w:t>80%</w:t>
            </w:r>
          </w:p>
        </w:tc>
      </w:tr>
    </w:tbl>
    <w:p w:rsidR="000622A6" w:rsidRPr="00E47B43" w:rsidRDefault="000622A6" w:rsidP="000622A6">
      <w:pPr>
        <w:ind w:right="90"/>
        <w:rPr>
          <w:color w:val="171717"/>
        </w:rPr>
      </w:pPr>
    </w:p>
    <w:p w:rsidR="008A7BEC" w:rsidRDefault="000622A6"/>
    <w:sectPr w:rsidR="008A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6"/>
    <w:rsid w:val="000622A6"/>
    <w:rsid w:val="008818BB"/>
    <w:rsid w:val="00B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78EA"/>
  <w15:chartTrackingRefBased/>
  <w15:docId w15:val="{8F24EDBE-FE7A-4E77-882D-9638E19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topics/agricultural-and-biological-sciences/antioxidant-activity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2021-01-24T09:06:00Z</dcterms:created>
  <dcterms:modified xsi:type="dcterms:W3CDTF">2021-01-24T09:07:00Z</dcterms:modified>
</cp:coreProperties>
</file>