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9B72" w14:textId="77777777" w:rsidR="002577CD" w:rsidRPr="003B5BB4" w:rsidRDefault="003B5BB4" w:rsidP="003B5BB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B5BB4">
        <w:rPr>
          <w:rFonts w:ascii="Times New Roman" w:hAnsi="Times New Roman" w:cs="Times New Roman" w:hint="eastAsia"/>
          <w:b/>
          <w:sz w:val="24"/>
        </w:rPr>
        <w:t>S</w:t>
      </w:r>
      <w:r w:rsidRPr="003B5BB4">
        <w:rPr>
          <w:rFonts w:ascii="Times New Roman" w:hAnsi="Times New Roman" w:cs="Times New Roman"/>
          <w:b/>
          <w:sz w:val="24"/>
        </w:rPr>
        <w:t xml:space="preserve">upplementary method </w:t>
      </w:r>
    </w:p>
    <w:p w14:paraId="2E682A2D" w14:textId="77777777" w:rsidR="003B5BB4" w:rsidRPr="00B237CC" w:rsidRDefault="003B5BB4" w:rsidP="003B5BB4">
      <w:pPr>
        <w:spacing w:line="480" w:lineRule="auto"/>
        <w:rPr>
          <w:rFonts w:ascii="Times New Roman" w:hAnsi="Times New Roman" w:cs="Times New Roman"/>
          <w:bCs/>
          <w:i/>
          <w:color w:val="000000"/>
          <w:sz w:val="24"/>
        </w:rPr>
      </w:pPr>
      <w:r w:rsidRPr="00B237CC">
        <w:rPr>
          <w:rFonts w:ascii="Times New Roman" w:hAnsi="Times New Roman" w:cs="Times New Roman"/>
          <w:bCs/>
          <w:i/>
          <w:color w:val="000000"/>
          <w:sz w:val="24"/>
        </w:rPr>
        <w:t>Development of prediction model</w:t>
      </w:r>
    </w:p>
    <w:p w14:paraId="6D26CEF0" w14:textId="51C47EAB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>The k-nearest neighbor algorithm (K-NN)</w:t>
      </w:r>
      <w:r w:rsidR="00D31D43">
        <w:rPr>
          <w:rFonts w:ascii="Times New Roman" w:hAnsi="Times New Roman" w:cs="Times New Roman"/>
          <w:sz w:val="24"/>
        </w:rPr>
        <w:fldChar w:fldCharType="begin"/>
      </w:r>
      <w:r w:rsidR="00D31D43">
        <w:rPr>
          <w:rFonts w:ascii="Times New Roman" w:hAnsi="Times New Roman" w:cs="Times New Roman"/>
          <w:sz w:val="24"/>
        </w:rPr>
        <w:instrText xml:space="preserve"> ADDIN EN.CITE &lt;EndNote&gt;&lt;Cite&gt;&lt;Author&gt;Murphy&lt;/Author&gt;&lt;Year&gt;2012&lt;/Year&gt;&lt;RecNum&gt;342&lt;/RecNum&gt;&lt;DisplayText&gt;&lt;style face="superscript"&gt;1&lt;/style&gt;&lt;/DisplayText&gt;&lt;record&gt;&lt;rec-number&gt;342&lt;/rec-number&gt;&lt;foreign-keys&gt;&lt;key app="EN" db-id="erfxvvarj0rapeewxr65fvf4x2rzxs0esafe" timestamp="1613362130"&gt;342&lt;/key&gt;&lt;/foreign-keys&gt;&lt;ref-type name="Book"&gt;6&lt;/ref-type&gt;&lt;contributors&gt;&lt;authors&gt;&lt;author&gt;Murphy, Kevin P&lt;/author&gt;&lt;/authors&gt;&lt;/contributors&gt;&lt;titles&gt;&lt;title&gt;Machine learning: a probabilistic perspective&lt;/title&gt;&lt;/titles&gt;&lt;dates&gt;&lt;year&gt;2012&lt;/year&gt;&lt;/dates&gt;&lt;publisher&gt;MIT press&lt;/publisher&gt;&lt;isbn&gt;0262304325&lt;/isbn&gt;&lt;urls&gt;&lt;/urls&gt;&lt;/record&gt;&lt;/Cite&gt;&lt;/EndNote&gt;</w:instrText>
      </w:r>
      <w:r w:rsidR="00D31D43">
        <w:rPr>
          <w:rFonts w:ascii="Times New Roman" w:hAnsi="Times New Roman" w:cs="Times New Roman"/>
          <w:sz w:val="24"/>
        </w:rPr>
        <w:fldChar w:fldCharType="separate"/>
      </w:r>
      <w:r w:rsidR="00D31D43" w:rsidRPr="00D31D43">
        <w:rPr>
          <w:rFonts w:ascii="Times New Roman" w:hAnsi="Times New Roman" w:cs="Times New Roman"/>
          <w:noProof/>
          <w:sz w:val="24"/>
          <w:vertAlign w:val="superscript"/>
        </w:rPr>
        <w:t>1</w:t>
      </w:r>
      <w:r w:rsidR="00D31D43">
        <w:rPr>
          <w:rFonts w:ascii="Times New Roman" w:hAnsi="Times New Roman" w:cs="Times New Roman"/>
          <w:sz w:val="24"/>
        </w:rPr>
        <w:fldChar w:fldCharType="end"/>
      </w:r>
      <w:r w:rsidRPr="00E00F5C">
        <w:rPr>
          <w:rFonts w:ascii="Times New Roman" w:hAnsi="Times New Roman" w:cs="Times New Roman"/>
          <w:sz w:val="24"/>
        </w:rPr>
        <w:t xml:space="preserve"> is </w:t>
      </w:r>
      <w:r w:rsidRPr="00E00F5C">
        <w:rPr>
          <w:rFonts w:ascii="Times New Roman" w:hAnsi="Times New Roman" w:cs="Times New Roman" w:hint="eastAsia"/>
          <w:sz w:val="24"/>
        </w:rPr>
        <w:t xml:space="preserve">one of the </w:t>
      </w:r>
      <w:r w:rsidRPr="00E00F5C">
        <w:rPr>
          <w:rFonts w:ascii="Times New Roman" w:hAnsi="Times New Roman" w:cs="Times New Roman"/>
          <w:sz w:val="24"/>
        </w:rPr>
        <w:t>simplest</w:t>
      </w:r>
      <w:r w:rsidRPr="00E00F5C">
        <w:rPr>
          <w:rFonts w:ascii="Times New Roman" w:hAnsi="Times New Roman" w:cs="Times New Roman" w:hint="eastAsia"/>
          <w:sz w:val="24"/>
        </w:rPr>
        <w:t xml:space="preserve"> and popular way in supervised learning method for classification and regression</w:t>
      </w:r>
      <w:r w:rsidRPr="00E00F5C">
        <w:rPr>
          <w:rFonts w:ascii="Times New Roman" w:hAnsi="Times New Roman" w:cs="Times New Roman"/>
          <w:sz w:val="24"/>
        </w:rPr>
        <w:t>. K-NN determines the output value by the number of closest training data from input data with out. There are two important parameters in K-NN algorithm, k and distance. The k in K-NN means the number of closest training data of input data and the most frequent value is decided by output. Below figure x show one example of KNN, 1-NN and 5 – NN.</w:t>
      </w:r>
    </w:p>
    <w:p w14:paraId="04DDAC8A" w14:textId="77777777" w:rsidR="00E00F5C" w:rsidRPr="00E00F5C" w:rsidRDefault="00E00F5C" w:rsidP="00E00F5C">
      <w:pPr>
        <w:spacing w:after="0" w:line="480" w:lineRule="auto"/>
        <w:jc w:val="center"/>
        <w:rPr>
          <w:noProof/>
        </w:rPr>
      </w:pPr>
      <w:r w:rsidRPr="00E00F5C">
        <w:rPr>
          <w:noProof/>
        </w:rPr>
        <w:drawing>
          <wp:inline distT="0" distB="0" distL="0" distR="0" wp14:anchorId="21FB7DA2" wp14:editId="480F61AE">
            <wp:extent cx="4107180" cy="2900150"/>
            <wp:effectExtent l="0" t="0" r="762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54" cy="29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CFD2" w14:textId="77ADFE7C" w:rsidR="00E00F5C" w:rsidRPr="00E00F5C" w:rsidRDefault="00E00F5C" w:rsidP="00E00F5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>F</w:t>
      </w:r>
      <w:r w:rsidRPr="00E00F5C">
        <w:rPr>
          <w:rFonts w:ascii="Times New Roman" w:hAnsi="Times New Roman" w:cs="Times New Roman" w:hint="eastAsia"/>
          <w:sz w:val="24"/>
        </w:rPr>
        <w:t>igure</w:t>
      </w:r>
      <w:r>
        <w:rPr>
          <w:rFonts w:ascii="Times New Roman" w:hAnsi="Times New Roman" w:cs="Times New Roman"/>
          <w:sz w:val="24"/>
        </w:rPr>
        <w:t xml:space="preserve"> </w:t>
      </w:r>
      <w:r w:rsidRPr="00E00F5C"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E1</w:t>
      </w:r>
      <w:r w:rsidR="005A4355">
        <w:rPr>
          <w:rFonts w:ascii="Times New Roman" w:hAnsi="Times New Roman" w:cs="Times New Roman"/>
          <w:sz w:val="24"/>
        </w:rPr>
        <w:t>) Example of K-NN</w:t>
      </w:r>
      <w:r w:rsidRPr="00E00F5C">
        <w:rPr>
          <w:rFonts w:ascii="Times New Roman" w:hAnsi="Times New Roman" w:cs="Times New Roman"/>
          <w:sz w:val="24"/>
        </w:rPr>
        <w:t>: 1-NN and 5-NN case</w:t>
      </w:r>
    </w:p>
    <w:p w14:paraId="36A19324" w14:textId="77777777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F969C79" w14:textId="77777777" w:rsidR="00E00F5C" w:rsidRPr="00E00F5C" w:rsidRDefault="00E00F5C" w:rsidP="00E00F5C">
      <w:pPr>
        <w:spacing w:after="0" w:line="480" w:lineRule="auto"/>
        <w:ind w:firstLine="800"/>
      </w:pPr>
      <w:r>
        <w:rPr>
          <w:rFonts w:ascii="Times New Roman" w:hAnsi="Times New Roman" w:cs="Times New Roman"/>
          <w:sz w:val="24"/>
        </w:rPr>
        <w:t>As you can see in figure E1</w:t>
      </w:r>
      <w:r w:rsidRPr="00E00F5C">
        <w:rPr>
          <w:rFonts w:ascii="Times New Roman" w:hAnsi="Times New Roman" w:cs="Times New Roman"/>
          <w:sz w:val="24"/>
        </w:rPr>
        <w:t>, in 1-NN case,</w:t>
      </w:r>
      <w:bookmarkStart w:id="0" w:name="_GoBack"/>
      <w:bookmarkEnd w:id="0"/>
      <w:r w:rsidRPr="00E00F5C">
        <w:rPr>
          <w:rFonts w:ascii="Times New Roman" w:hAnsi="Times New Roman" w:cs="Times New Roman"/>
          <w:sz w:val="24"/>
        </w:rPr>
        <w:t xml:space="preserve"> test data is predicted as red circle class because the nearest one data is the red circle, however 5-NN case test data is classified blue circle class because more than half of the five closest are blue circles. Another important parameter in K-NN is distance that it decides which data are closet data. The most popular distance measures between two data </w:t>
      </w:r>
      <w:r w:rsidRPr="00E00F5C">
        <w:rPr>
          <w:rFonts w:ascii="Times New Roman" w:hAnsi="Times New Roman" w:cs="Times New Roman"/>
          <w:position w:val="-14"/>
          <w:sz w:val="24"/>
        </w:rPr>
        <w:object w:dxaOrig="2160" w:dyaOrig="400" w14:anchorId="20C7B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.7pt" o:ole="">
            <v:imagedata r:id="rId8" o:title=""/>
          </v:shape>
          <o:OLEObject Type="Embed" ProgID="Equation.DSMT4" ShapeID="_x0000_i1025" DrawAspect="Content" ObjectID="_1674901628" r:id="rId9"/>
        </w:object>
      </w:r>
      <w:r w:rsidRPr="00E00F5C">
        <w:rPr>
          <w:rFonts w:ascii="Times New Roman" w:hAnsi="Times New Roman" w:cs="Times New Roman"/>
          <w:sz w:val="24"/>
        </w:rPr>
        <w:t xml:space="preserve"> and </w:t>
      </w:r>
      <w:r w:rsidRPr="00E00F5C">
        <w:rPr>
          <w:position w:val="-14"/>
        </w:rPr>
        <w:object w:dxaOrig="2160" w:dyaOrig="400" w14:anchorId="29449AB0">
          <v:shape id="_x0000_i1026" type="#_x0000_t75" style="width:108pt;height:19.7pt" o:ole="">
            <v:imagedata r:id="rId10" o:title=""/>
          </v:shape>
          <o:OLEObject Type="Embed" ProgID="Equation.DSMT4" ShapeID="_x0000_i1026" DrawAspect="Content" ObjectID="_1674901629" r:id="rId11"/>
        </w:object>
      </w:r>
      <w:r w:rsidRPr="00E00F5C">
        <w:rPr>
          <w:rFonts w:ascii="Times New Roman" w:hAnsi="Times New Roman" w:cs="Times New Roman"/>
          <w:sz w:val="24"/>
        </w:rPr>
        <w:t xml:space="preserve"> </w:t>
      </w:r>
      <w:r w:rsidRPr="00E00F5C">
        <w:rPr>
          <w:rFonts w:ascii="Times New Roman" w:hAnsi="Times New Roman" w:cs="Times New Roman"/>
          <w:sz w:val="24"/>
        </w:rPr>
        <w:lastRenderedPageBreak/>
        <w:t xml:space="preserve">where </w:t>
      </w:r>
      <w:r w:rsidRPr="00E00F5C">
        <w:rPr>
          <w:position w:val="-12"/>
        </w:rPr>
        <w:object w:dxaOrig="220" w:dyaOrig="360" w14:anchorId="47EF07D0">
          <v:shape id="_x0000_i1027" type="#_x0000_t75" style="width:10.85pt;height:18.35pt" o:ole="">
            <v:imagedata r:id="rId12" o:title=""/>
          </v:shape>
          <o:OLEObject Type="Embed" ProgID="Equation.DSMT4" ShapeID="_x0000_i1027" DrawAspect="Content" ObjectID="_1674901630" r:id="rId13"/>
        </w:object>
      </w:r>
      <w:r w:rsidRPr="00E00F5C">
        <w:t xml:space="preserve"> </w:t>
      </w:r>
      <w:r w:rsidRPr="00E00F5C">
        <w:rPr>
          <w:rFonts w:ascii="Times New Roman" w:hAnsi="Times New Roman" w:cs="Times New Roman"/>
          <w:sz w:val="24"/>
        </w:rPr>
        <w:t>are feature of data</w:t>
      </w:r>
      <w:r w:rsidRPr="00E00F5C">
        <w:t xml:space="preserve"> </w:t>
      </w:r>
      <w:r w:rsidRPr="00E00F5C">
        <w:rPr>
          <w:rFonts w:ascii="Times New Roman" w:hAnsi="Times New Roman" w:cs="Times New Roman"/>
          <w:sz w:val="24"/>
        </w:rPr>
        <w:t>are as follows.</w:t>
      </w:r>
    </w:p>
    <w:p w14:paraId="7FFDCA56" w14:textId="77777777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 xml:space="preserve"> Euclidean :</w:t>
      </w:r>
    </w:p>
    <w:p w14:paraId="46483329" w14:textId="77777777" w:rsidR="00E00F5C" w:rsidRPr="00E00F5C" w:rsidRDefault="00E00F5C" w:rsidP="00E00F5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position w:val="-16"/>
          <w:sz w:val="24"/>
        </w:rPr>
        <w:object w:dxaOrig="2380" w:dyaOrig="520" w14:anchorId="380B810B">
          <v:shape id="_x0000_i1028" type="#_x0000_t75" style="width:118.85pt;height:25.8pt" o:ole="">
            <v:imagedata r:id="rId14" o:title=""/>
          </v:shape>
          <o:OLEObject Type="Embed" ProgID="Equation.DSMT4" ShapeID="_x0000_i1028" DrawAspect="Content" ObjectID="_1674901631" r:id="rId15"/>
        </w:object>
      </w:r>
    </w:p>
    <w:p w14:paraId="5ADF97B7" w14:textId="77777777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 xml:space="preserve"> Malanobis </w:t>
      </w:r>
    </w:p>
    <w:p w14:paraId="4ECC2FEE" w14:textId="77777777" w:rsidR="00E00F5C" w:rsidRPr="00E00F5C" w:rsidRDefault="00E00F5C" w:rsidP="00E00F5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position w:val="-34"/>
          <w:sz w:val="24"/>
        </w:rPr>
        <w:object w:dxaOrig="4760" w:dyaOrig="800" w14:anchorId="2C624B9A">
          <v:shape id="_x0000_i1029" type="#_x0000_t75" style="width:238.4pt;height:40.1pt" o:ole="">
            <v:imagedata r:id="rId16" o:title=""/>
          </v:shape>
          <o:OLEObject Type="Embed" ProgID="Equation.DSMT4" ShapeID="_x0000_i1029" DrawAspect="Content" ObjectID="_1674901632" r:id="rId17"/>
        </w:object>
      </w:r>
      <w:r w:rsidRPr="00E00F5C">
        <w:rPr>
          <w:rFonts w:ascii="Times New Roman" w:hAnsi="Times New Roman" w:cs="Times New Roman"/>
          <w:sz w:val="24"/>
        </w:rPr>
        <w:br w:type="textWrapping" w:clear="all"/>
      </w:r>
    </w:p>
    <w:p w14:paraId="0A579F3F" w14:textId="77777777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 xml:space="preserve"> Manhattan</w:t>
      </w:r>
    </w:p>
    <w:p w14:paraId="5E84E8EF" w14:textId="77777777" w:rsidR="00E00F5C" w:rsidRPr="00E00F5C" w:rsidRDefault="00E00F5C" w:rsidP="00E00F5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position w:val="-14"/>
          <w:sz w:val="24"/>
        </w:rPr>
        <w:object w:dxaOrig="2040" w:dyaOrig="400" w14:anchorId="51FB2D29">
          <v:shape id="_x0000_i1030" type="#_x0000_t75" style="width:101.9pt;height:19.7pt" o:ole="">
            <v:imagedata r:id="rId18" o:title=""/>
          </v:shape>
          <o:OLEObject Type="Embed" ProgID="Equation.DSMT4" ShapeID="_x0000_i1030" DrawAspect="Content" ObjectID="_1674901633" r:id="rId19"/>
        </w:object>
      </w:r>
    </w:p>
    <w:p w14:paraId="2BE909BE" w14:textId="77777777" w:rsidR="00E00F5C" w:rsidRPr="00E00F5C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6278D99" w14:textId="77777777" w:rsidR="00E00F5C" w:rsidRPr="00F66E76" w:rsidRDefault="00E00F5C" w:rsidP="00E00F5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00F5C">
        <w:rPr>
          <w:rFonts w:ascii="Times New Roman" w:hAnsi="Times New Roman" w:cs="Times New Roman"/>
          <w:sz w:val="24"/>
        </w:rPr>
        <w:t xml:space="preserve">In this paper, we use 5-NN with Euclidean distance for choice closet data to predict </w:t>
      </w:r>
      <w:r>
        <w:rPr>
          <w:rFonts w:ascii="Times New Roman" w:hAnsi="Times New Roman" w:cs="Times New Roman"/>
          <w:sz w:val="24"/>
        </w:rPr>
        <w:t xml:space="preserve">insufficient </w:t>
      </w:r>
      <w:r w:rsidRPr="00E00F5C">
        <w:rPr>
          <w:rFonts w:ascii="Times New Roman" w:hAnsi="Times New Roman" w:cs="Times New Roman"/>
          <w:sz w:val="24"/>
        </w:rPr>
        <w:t>hepatic enhancement.</w:t>
      </w:r>
    </w:p>
    <w:p w14:paraId="566FFCAC" w14:textId="77777777" w:rsidR="003B5BB4" w:rsidRPr="00E00F5C" w:rsidRDefault="003B5BB4" w:rsidP="003B5BB4">
      <w:pPr>
        <w:spacing w:line="480" w:lineRule="auto"/>
        <w:rPr>
          <w:rFonts w:ascii="Times New Roman" w:hAnsi="Times New Roman" w:cs="Times New Roman"/>
          <w:bCs/>
          <w:color w:val="000000"/>
          <w:sz w:val="24"/>
        </w:rPr>
      </w:pPr>
    </w:p>
    <w:p w14:paraId="213D4760" w14:textId="77777777" w:rsidR="003B5BB4" w:rsidRDefault="003B5BB4" w:rsidP="003B5BB4">
      <w:pPr>
        <w:spacing w:line="480" w:lineRule="auto"/>
        <w:rPr>
          <w:rFonts w:ascii="Times New Roman" w:hAnsi="Times New Roman" w:cs="Times New Roman"/>
          <w:bCs/>
          <w:color w:val="000000"/>
          <w:sz w:val="24"/>
        </w:rPr>
        <w:sectPr w:rsidR="003B5BB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6E7EF23" w14:textId="77777777" w:rsidR="003B5BB4" w:rsidRPr="006656FA" w:rsidRDefault="003B5BB4" w:rsidP="003B5BB4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6656FA">
        <w:rPr>
          <w:rFonts w:ascii="Times New Roman" w:hAnsi="Times New Roman" w:cs="Times New Roman" w:hint="cs"/>
          <w:b/>
          <w:bCs/>
          <w:color w:val="000000"/>
          <w:sz w:val="24"/>
        </w:rPr>
        <w:lastRenderedPageBreak/>
        <w:t>Supplementary Table 1</w:t>
      </w:r>
      <w:r w:rsidR="006656FA">
        <w:rPr>
          <w:rFonts w:ascii="Times New Roman" w:hAnsi="Times New Roman" w:cs="Times New Roman"/>
          <w:b/>
          <w:bCs/>
          <w:color w:val="000000"/>
          <w:sz w:val="24"/>
        </w:rPr>
        <w:t xml:space="preserve">. Diagnostic performance of prediction model for classification of visual assessment of hepatic enhancement during hepatobiliary phase. </w:t>
      </w: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1357"/>
        <w:gridCol w:w="1433"/>
        <w:gridCol w:w="1302"/>
        <w:gridCol w:w="1602"/>
        <w:gridCol w:w="1513"/>
        <w:gridCol w:w="1416"/>
        <w:gridCol w:w="1425"/>
        <w:gridCol w:w="1536"/>
        <w:gridCol w:w="1486"/>
      </w:tblGrid>
      <w:tr w:rsidR="003B5BB4" w:rsidRPr="003B5BB4" w14:paraId="5A31C41C" w14:textId="77777777" w:rsidTr="00FD45CB">
        <w:trPr>
          <w:trHeight w:val="344"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14:paraId="4ACDF392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Grade</w:t>
            </w:r>
          </w:p>
        </w:tc>
        <w:tc>
          <w:tcPr>
            <w:tcW w:w="4092" w:type="dxa"/>
            <w:gridSpan w:val="3"/>
            <w:shd w:val="clear" w:color="auto" w:fill="auto"/>
            <w:noWrap/>
            <w:vAlign w:val="center"/>
            <w:hideMark/>
          </w:tcPr>
          <w:p w14:paraId="5A060A6B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CPS</w:t>
            </w:r>
          </w:p>
        </w:tc>
        <w:tc>
          <w:tcPr>
            <w:tcW w:w="4531" w:type="dxa"/>
            <w:gridSpan w:val="3"/>
            <w:shd w:val="clear" w:color="auto" w:fill="auto"/>
            <w:noWrap/>
            <w:vAlign w:val="center"/>
            <w:hideMark/>
          </w:tcPr>
          <w:p w14:paraId="34CA97AB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MELD-Na</w:t>
            </w:r>
          </w:p>
        </w:tc>
        <w:tc>
          <w:tcPr>
            <w:tcW w:w="4447" w:type="dxa"/>
            <w:gridSpan w:val="3"/>
            <w:shd w:val="clear" w:color="auto" w:fill="auto"/>
            <w:noWrap/>
            <w:vAlign w:val="center"/>
            <w:hideMark/>
          </w:tcPr>
          <w:p w14:paraId="5B294B11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combination of various parameters</w:t>
            </w:r>
          </w:p>
        </w:tc>
      </w:tr>
      <w:tr w:rsidR="00FD45CB" w:rsidRPr="003B5BB4" w14:paraId="3C1D0ED0" w14:textId="77777777" w:rsidTr="00FD45CB">
        <w:trPr>
          <w:trHeight w:val="344"/>
        </w:trPr>
        <w:tc>
          <w:tcPr>
            <w:tcW w:w="721" w:type="dxa"/>
            <w:vMerge/>
            <w:shd w:val="clear" w:color="auto" w:fill="auto"/>
            <w:noWrap/>
            <w:vAlign w:val="center"/>
            <w:hideMark/>
          </w:tcPr>
          <w:p w14:paraId="423D4674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3C4B9A4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D1298D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D7DC518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CFF2007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27CA58D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2E7F979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5A7C55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260BFDE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4AD6C34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</w:tr>
      <w:tr w:rsidR="00FD45CB" w:rsidRPr="003B5BB4" w14:paraId="3E42DA1F" w14:textId="77777777" w:rsidTr="00FD45CB">
        <w:trPr>
          <w:trHeight w:val="34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1CE0838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181E313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 w:rsidR="00FD45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95237BC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23108B4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E27C05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60A0F51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FA3DEA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D260947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3EEFBD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48004C0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FD45CB" w:rsidRPr="003B5BB4" w14:paraId="19DD8CF7" w14:textId="77777777" w:rsidTr="00FD45CB">
        <w:trPr>
          <w:trHeight w:val="34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B69CB9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69A7274B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NaN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C9B4A07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C73C9F4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1178690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E91EB98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0829A5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73274E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5BAE90E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E8B8798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D2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FD45CB" w:rsidRPr="003B5BB4" w14:paraId="7409FA96" w14:textId="77777777" w:rsidTr="00FD45CB">
        <w:trPr>
          <w:trHeight w:val="34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375A2CA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2F30F07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FD45C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1944BBF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12AADD0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D5ACCB7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61.4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F6C859D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87.6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14E98B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44DB80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A59A7C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2470D9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FD45CB" w:rsidRPr="003B5BB4" w14:paraId="2E766E22" w14:textId="77777777" w:rsidTr="00FD45CB">
        <w:trPr>
          <w:trHeight w:val="34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DDF50D1" w14:textId="77777777" w:rsidR="003B5BB4" w:rsidRPr="003B5BB4" w:rsidRDefault="003B5BB4" w:rsidP="003B5B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B2C3360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NaN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9BBAE5C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01CDA03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DE46FB9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F9EBC64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7ADF3EF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7740D16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A26E919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1C93155" w14:textId="77777777" w:rsidR="003B5BB4" w:rsidRPr="003B5BB4" w:rsidRDefault="003B5BB4" w:rsidP="00FD45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3B5BB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</w:tbl>
    <w:p w14:paraId="106BE98B" w14:textId="77777777" w:rsidR="003B5BB4" w:rsidRDefault="003B5BB4" w:rsidP="003B5B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Note. — Data are presented as a mean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45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05E">
        <w:rPr>
          <w:rFonts w:ascii="Times New Roman" w:hAnsi="Times New Roman" w:cs="Times New Roman"/>
          <w:sz w:val="24"/>
          <w:szCs w:val="24"/>
        </w:rPr>
        <w:t xml:space="preserve"> ± standard deviation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E40EA" w14:textId="77777777" w:rsidR="00D31D43" w:rsidRDefault="00D31D43" w:rsidP="003B5BB4">
      <w:pPr>
        <w:spacing w:line="480" w:lineRule="auto"/>
        <w:rPr>
          <w:rFonts w:ascii="Times New Roman" w:hAnsi="Times New Roman" w:cs="Times New Roman"/>
          <w:sz w:val="28"/>
        </w:rPr>
      </w:pPr>
    </w:p>
    <w:p w14:paraId="4B30B6FB" w14:textId="77777777" w:rsidR="00D31D43" w:rsidRDefault="00D31D43" w:rsidP="003B5BB4">
      <w:pPr>
        <w:spacing w:line="480" w:lineRule="auto"/>
        <w:rPr>
          <w:rFonts w:ascii="Times New Roman" w:hAnsi="Times New Roman" w:cs="Times New Roman"/>
          <w:sz w:val="28"/>
        </w:rPr>
        <w:sectPr w:rsidR="00D31D43" w:rsidSect="003B5BB4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4947B384" w14:textId="7F82DA7A" w:rsidR="00D31D43" w:rsidRPr="00D31D43" w:rsidRDefault="00D31D43" w:rsidP="003B5BB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31D43">
        <w:rPr>
          <w:rFonts w:ascii="Times New Roman" w:hAnsi="Times New Roman" w:cs="Times New Roman" w:hint="eastAsia"/>
          <w:b/>
          <w:sz w:val="24"/>
        </w:rPr>
        <w:lastRenderedPageBreak/>
        <w:t>Reference</w:t>
      </w:r>
    </w:p>
    <w:p w14:paraId="1935E089" w14:textId="77777777" w:rsidR="00D31D43" w:rsidRPr="00D31D43" w:rsidRDefault="00D31D43" w:rsidP="00D31D43">
      <w:pPr>
        <w:pStyle w:val="EndNoteBibliography"/>
        <w:ind w:left="720" w:hanging="720"/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ADDIN EN.REFLIST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D31D43">
        <w:t>1</w:t>
      </w:r>
      <w:r w:rsidRPr="00D31D43">
        <w:tab/>
        <w:t xml:space="preserve">Murphy, K. P. </w:t>
      </w:r>
      <w:r w:rsidRPr="00D31D43">
        <w:rPr>
          <w:i/>
        </w:rPr>
        <w:t>Machine learning: a probabilistic perspective</w:t>
      </w:r>
      <w:r w:rsidRPr="00D31D43">
        <w:t>.  (MIT press, 2012).</w:t>
      </w:r>
    </w:p>
    <w:p w14:paraId="16EB2F26" w14:textId="0B3F5F40" w:rsidR="003B5BB4" w:rsidRPr="003B5BB4" w:rsidRDefault="00D31D43" w:rsidP="003B5BB4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end"/>
      </w:r>
    </w:p>
    <w:sectPr w:rsidR="003B5BB4" w:rsidRPr="003B5BB4" w:rsidSect="00D31D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28BB" w14:textId="77777777" w:rsidR="00D720A8" w:rsidRDefault="00D720A8" w:rsidP="00E00F5C">
      <w:pPr>
        <w:spacing w:after="0" w:line="240" w:lineRule="auto"/>
      </w:pPr>
      <w:r>
        <w:separator/>
      </w:r>
    </w:p>
  </w:endnote>
  <w:endnote w:type="continuationSeparator" w:id="0">
    <w:p w14:paraId="069D5365" w14:textId="77777777" w:rsidR="00D720A8" w:rsidRDefault="00D720A8" w:rsidP="00E0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0661" w14:textId="77777777" w:rsidR="00D720A8" w:rsidRDefault="00D720A8" w:rsidP="00E00F5C">
      <w:pPr>
        <w:spacing w:after="0" w:line="240" w:lineRule="auto"/>
      </w:pPr>
      <w:r>
        <w:separator/>
      </w:r>
    </w:p>
  </w:footnote>
  <w:footnote w:type="continuationSeparator" w:id="0">
    <w:p w14:paraId="5DC6D4D8" w14:textId="77777777" w:rsidR="00D720A8" w:rsidRDefault="00D720A8" w:rsidP="00E0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fxvvarj0rapeewxr65fvf4x2rzxs0esafe&quot;&gt;My EndNote Library&lt;record-ids&gt;&lt;item&gt;342&lt;/item&gt;&lt;/record-ids&gt;&lt;/item&gt;&lt;/Libraries&gt;"/>
  </w:docVars>
  <w:rsids>
    <w:rsidRoot w:val="003B5BB4"/>
    <w:rsid w:val="002577CD"/>
    <w:rsid w:val="003B5BB4"/>
    <w:rsid w:val="004F6320"/>
    <w:rsid w:val="005A4355"/>
    <w:rsid w:val="006656FA"/>
    <w:rsid w:val="00795E8B"/>
    <w:rsid w:val="00937D14"/>
    <w:rsid w:val="00B237CC"/>
    <w:rsid w:val="00D31D43"/>
    <w:rsid w:val="00D720A8"/>
    <w:rsid w:val="00E00F5C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23A4"/>
  <w15:chartTrackingRefBased/>
  <w15:docId w15:val="{B18C3C6A-DB2F-4DC6-8D15-D2C6C43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0F5C"/>
  </w:style>
  <w:style w:type="paragraph" w:styleId="a4">
    <w:name w:val="footer"/>
    <w:basedOn w:val="a"/>
    <w:link w:val="Char0"/>
    <w:uiPriority w:val="99"/>
    <w:unhideWhenUsed/>
    <w:rsid w:val="00E00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0F5C"/>
  </w:style>
  <w:style w:type="character" w:styleId="a5">
    <w:name w:val="annotation reference"/>
    <w:basedOn w:val="a0"/>
    <w:uiPriority w:val="99"/>
    <w:semiHidden/>
    <w:unhideWhenUsed/>
    <w:rsid w:val="00E00F5C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E00F5C"/>
    <w:pPr>
      <w:widowControl/>
      <w:wordWrap/>
      <w:autoSpaceDE/>
      <w:autoSpaceDN/>
      <w:jc w:val="left"/>
    </w:pPr>
    <w:rPr>
      <w:kern w:val="0"/>
      <w:sz w:val="22"/>
    </w:rPr>
  </w:style>
  <w:style w:type="character" w:customStyle="1" w:styleId="Char1">
    <w:name w:val="메모 텍스트 Char"/>
    <w:basedOn w:val="a0"/>
    <w:link w:val="a6"/>
    <w:uiPriority w:val="99"/>
    <w:rsid w:val="00E00F5C"/>
    <w:rPr>
      <w:kern w:val="0"/>
      <w:sz w:val="22"/>
    </w:rPr>
  </w:style>
  <w:style w:type="paragraph" w:customStyle="1" w:styleId="MDPI71References">
    <w:name w:val="MDPI_7.1_References"/>
    <w:basedOn w:val="a"/>
    <w:qFormat/>
    <w:rsid w:val="00E00F5C"/>
    <w:pPr>
      <w:widowControl/>
      <w:numPr>
        <w:numId w:val="1"/>
      </w:numPr>
      <w:wordWrap/>
      <w:autoSpaceDE/>
      <w:autoSpaceDN/>
      <w:adjustRightInd w:val="0"/>
      <w:snapToGrid w:val="0"/>
      <w:spacing w:after="0" w:line="260" w:lineRule="atLeast"/>
      <w:ind w:left="425" w:hanging="425"/>
      <w:jc w:val="lef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styleId="a7">
    <w:name w:val="Balloon Text"/>
    <w:basedOn w:val="a"/>
    <w:link w:val="Char2"/>
    <w:uiPriority w:val="99"/>
    <w:semiHidden/>
    <w:unhideWhenUsed/>
    <w:rsid w:val="00E00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00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31D43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D43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31D43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31D43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JE</cp:lastModifiedBy>
  <cp:revision>6</cp:revision>
  <dcterms:created xsi:type="dcterms:W3CDTF">2021-02-10T01:32:00Z</dcterms:created>
  <dcterms:modified xsi:type="dcterms:W3CDTF">2021-02-15T04:40:00Z</dcterms:modified>
</cp:coreProperties>
</file>