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E7B02" w14:textId="77777777" w:rsidR="00F43A0B" w:rsidRDefault="00F43A0B" w:rsidP="00F43A0B">
      <w:pPr>
        <w:spacing w:after="0" w:line="480" w:lineRule="auto"/>
        <w:rPr>
          <w:rFonts w:ascii="Times New Roman" w:hAnsi="Times New Roman" w:cs="Times New Roman"/>
          <w:noProof/>
          <w:sz w:val="24"/>
          <w:szCs w:val="24"/>
        </w:rPr>
      </w:pPr>
    </w:p>
    <w:p w14:paraId="1881CE4D" w14:textId="77777777" w:rsidR="00F43A0B" w:rsidRPr="00E7192F" w:rsidRDefault="00F43A0B" w:rsidP="00F43A0B">
      <w:pPr>
        <w:jc w:val="center"/>
        <w:rPr>
          <w:rFonts w:ascii="Times New Roman" w:hAnsi="Times New Roman" w:cs="Times New Roman"/>
          <w:b/>
          <w:sz w:val="24"/>
          <w:szCs w:val="24"/>
        </w:rPr>
      </w:pPr>
      <w:r w:rsidRPr="00E7192F">
        <w:rPr>
          <w:rFonts w:ascii="Times New Roman" w:hAnsi="Times New Roman" w:cs="Times New Roman"/>
          <w:b/>
          <w:noProof/>
          <w:sz w:val="24"/>
          <w:szCs w:val="24"/>
        </w:rPr>
        <w:drawing>
          <wp:inline distT="0" distB="0" distL="0" distR="0" wp14:anchorId="653728E6" wp14:editId="1028F7E5">
            <wp:extent cx="5978211" cy="5177155"/>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get regions v3.jpg"/>
                    <pic:cNvPicPr/>
                  </pic:nvPicPr>
                  <pic:blipFill rotWithShape="1">
                    <a:blip r:embed="rId4" cstate="print">
                      <a:extLst>
                        <a:ext uri="{28A0092B-C50C-407E-A947-70E740481C1C}">
                          <a14:useLocalDpi xmlns:a14="http://schemas.microsoft.com/office/drawing/2010/main" val="0"/>
                        </a:ext>
                      </a:extLst>
                    </a:blip>
                    <a:srcRect b="25002"/>
                    <a:stretch/>
                  </pic:blipFill>
                  <pic:spPr bwMode="auto">
                    <a:xfrm>
                      <a:off x="0" y="0"/>
                      <a:ext cx="5986180" cy="5184057"/>
                    </a:xfrm>
                    <a:prstGeom prst="rect">
                      <a:avLst/>
                    </a:prstGeom>
                    <a:ln>
                      <a:noFill/>
                    </a:ln>
                    <a:extLst>
                      <a:ext uri="{53640926-AAD7-44D8-BBD7-CCE9431645EC}">
                        <a14:shadowObscured xmlns:a14="http://schemas.microsoft.com/office/drawing/2010/main"/>
                      </a:ext>
                    </a:extLst>
                  </pic:spPr>
                </pic:pic>
              </a:graphicData>
            </a:graphic>
          </wp:inline>
        </w:drawing>
      </w:r>
    </w:p>
    <w:p w14:paraId="46D419E4" w14:textId="77777777" w:rsidR="00F43A0B" w:rsidRDefault="00F43A0B" w:rsidP="00F43A0B">
      <w:pPr>
        <w:pStyle w:val="ListParagraph"/>
        <w:spacing w:after="0" w:line="480" w:lineRule="auto"/>
        <w:ind w:left="0"/>
        <w:rPr>
          <w:rFonts w:ascii="Times New Roman" w:hAnsi="Times New Roman" w:cs="Times New Roman"/>
          <w:i/>
          <w:sz w:val="24"/>
          <w:szCs w:val="24"/>
        </w:rPr>
        <w:sectPr w:rsidR="00F43A0B" w:rsidSect="002E680E">
          <w:footerReference w:type="even" r:id="rId5"/>
          <w:footerReference w:type="default" r:id="rId6"/>
          <w:pgSz w:w="12240" w:h="15840"/>
          <w:pgMar w:top="1440" w:right="1440" w:bottom="1440" w:left="1170" w:header="720" w:footer="720" w:gutter="0"/>
          <w:lnNumType w:countBy="1" w:restart="continuous"/>
          <w:cols w:space="720"/>
          <w:docGrid w:linePitch="360"/>
        </w:sectPr>
      </w:pPr>
      <w:r>
        <w:rPr>
          <w:rFonts w:ascii="Times New Roman" w:hAnsi="Times New Roman" w:cs="Times New Roman"/>
          <w:b/>
          <w:i/>
          <w:sz w:val="24"/>
          <w:szCs w:val="24"/>
        </w:rPr>
        <w:t xml:space="preserve">Extended Data </w:t>
      </w:r>
      <w:r w:rsidRPr="00E7192F">
        <w:rPr>
          <w:rFonts w:ascii="Times New Roman" w:hAnsi="Times New Roman" w:cs="Times New Roman"/>
          <w:b/>
          <w:i/>
          <w:sz w:val="24"/>
          <w:szCs w:val="24"/>
        </w:rPr>
        <w:t>Figure 1:</w:t>
      </w:r>
      <w:r w:rsidRPr="00E7192F">
        <w:rPr>
          <w:rFonts w:ascii="Times New Roman" w:hAnsi="Times New Roman" w:cs="Times New Roman"/>
          <w:i/>
          <w:sz w:val="24"/>
          <w:szCs w:val="24"/>
        </w:rPr>
        <w:t xml:space="preserve"> </w:t>
      </w:r>
      <w:r w:rsidRPr="00E7192F">
        <w:rPr>
          <w:rFonts w:ascii="Times New Roman" w:hAnsi="Times New Roman" w:cs="Times New Roman"/>
          <w:b/>
          <w:i/>
          <w:sz w:val="24"/>
          <w:szCs w:val="24"/>
        </w:rPr>
        <w:t xml:space="preserve">Target crops and countries. </w:t>
      </w:r>
      <w:r w:rsidRPr="00E7192F">
        <w:rPr>
          <w:rFonts w:ascii="Times New Roman" w:hAnsi="Times New Roman" w:cs="Times New Roman"/>
          <w:i/>
          <w:sz w:val="24"/>
          <w:szCs w:val="24"/>
        </w:rPr>
        <w:t>Crop density of rainfed and irrigated maize, rice, and wheat, and countries included in the comparison shown in the present study (dark gray). Crop harvested area density was retrieved from SPAM 2010 (You et al., 2014).</w:t>
      </w:r>
    </w:p>
    <w:p w14:paraId="51F22954" w14:textId="77777777" w:rsidR="00F43A0B" w:rsidRDefault="00F43A0B" w:rsidP="00F43A0B">
      <w:pPr>
        <w:pStyle w:val="ListParagraph"/>
        <w:spacing w:after="0" w:line="480" w:lineRule="auto"/>
        <w:ind w:left="0"/>
        <w:rPr>
          <w:rFonts w:ascii="Times New Roman" w:hAnsi="Times New Roman" w:cs="Times New Roman"/>
          <w:i/>
          <w:sz w:val="24"/>
          <w:szCs w:val="24"/>
        </w:rPr>
      </w:pPr>
    </w:p>
    <w:p w14:paraId="52284BC3" w14:textId="77777777" w:rsidR="00F43A0B" w:rsidRDefault="00F43A0B" w:rsidP="00F43A0B">
      <w:pPr>
        <w:pStyle w:val="ListParagraph"/>
        <w:spacing w:after="0" w:line="480" w:lineRule="auto"/>
        <w:ind w:left="0"/>
        <w:rPr>
          <w:rFonts w:ascii="Times New Roman" w:hAnsi="Times New Roman" w:cs="Times New Roman"/>
          <w:i/>
          <w:sz w:val="24"/>
          <w:szCs w:val="24"/>
        </w:rPr>
      </w:pPr>
    </w:p>
    <w:p w14:paraId="6EEF6648" w14:textId="77777777" w:rsidR="00F43A0B" w:rsidRPr="00E7192F" w:rsidRDefault="00F43A0B" w:rsidP="00F43A0B">
      <w:pPr>
        <w:spacing w:after="0" w:line="480" w:lineRule="auto"/>
        <w:jc w:val="center"/>
        <w:rPr>
          <w:rFonts w:ascii="Times New Roman" w:hAnsi="Times New Roman" w:cs="Times New Roman"/>
          <w:sz w:val="24"/>
          <w:szCs w:val="24"/>
          <w:highlight w:val="yellow"/>
        </w:rPr>
      </w:pPr>
      <w:r w:rsidRPr="00E7192F">
        <w:rPr>
          <w:rFonts w:ascii="Times New Roman" w:hAnsi="Times New Roman" w:cs="Times New Roman"/>
          <w:noProof/>
          <w:sz w:val="24"/>
          <w:szCs w:val="24"/>
        </w:rPr>
        <w:drawing>
          <wp:inline distT="0" distB="0" distL="0" distR="0" wp14:anchorId="0EBAB4BB" wp14:editId="2BB427AD">
            <wp:extent cx="5928220" cy="332771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ce GAEZ vs GYGA v1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8220" cy="3327712"/>
                    </a:xfrm>
                    <a:prstGeom prst="rect">
                      <a:avLst/>
                    </a:prstGeom>
                  </pic:spPr>
                </pic:pic>
              </a:graphicData>
            </a:graphic>
          </wp:inline>
        </w:drawing>
      </w:r>
    </w:p>
    <w:p w14:paraId="7133CE51" w14:textId="77777777" w:rsidR="00F43A0B" w:rsidRDefault="00F43A0B" w:rsidP="00F43A0B">
      <w:pPr>
        <w:spacing w:after="0"/>
        <w:rPr>
          <w:rFonts w:ascii="Times New Roman" w:hAnsi="Times New Roman" w:cs="Times New Roman"/>
          <w:sz w:val="24"/>
          <w:szCs w:val="24"/>
        </w:rPr>
      </w:pPr>
      <w:r>
        <w:rPr>
          <w:rFonts w:ascii="Times New Roman" w:hAnsi="Times New Roman" w:cs="Times New Roman"/>
          <w:b/>
          <w:sz w:val="24"/>
          <w:szCs w:val="24"/>
        </w:rPr>
        <w:t>Extended Data Figure 2</w:t>
      </w:r>
      <w:r w:rsidRPr="00E7192F">
        <w:rPr>
          <w:rFonts w:ascii="Times New Roman" w:hAnsi="Times New Roman" w:cs="Times New Roman"/>
          <w:b/>
          <w:sz w:val="24"/>
          <w:szCs w:val="24"/>
        </w:rPr>
        <w:t>:</w:t>
      </w:r>
      <w:r w:rsidRPr="00E7192F">
        <w:rPr>
          <w:rFonts w:ascii="Times New Roman" w:hAnsi="Times New Roman" w:cs="Times New Roman"/>
          <w:sz w:val="24"/>
          <w:szCs w:val="24"/>
        </w:rPr>
        <w:t xml:space="preserve"> </w:t>
      </w:r>
      <w:r w:rsidRPr="00E7192F">
        <w:rPr>
          <w:rFonts w:ascii="Times New Roman" w:hAnsi="Times New Roman" w:cs="Times New Roman"/>
          <w:b/>
          <w:i/>
          <w:sz w:val="24"/>
          <w:szCs w:val="24"/>
        </w:rPr>
        <w:t xml:space="preserve">Comparison of yield gap derived from top-down and bottom-up approaches. </w:t>
      </w:r>
      <w:r w:rsidRPr="00E7192F">
        <w:rPr>
          <w:rFonts w:ascii="Times New Roman" w:hAnsi="Times New Roman" w:cs="Times New Roman"/>
          <w:i/>
          <w:sz w:val="24"/>
          <w:szCs w:val="24"/>
        </w:rPr>
        <w:t xml:space="preserve">Yield gap estimated following a bottom-up approach (Global Yield Gap Atlas, GYGA) versus those derived from top-down Global </w:t>
      </w:r>
      <w:proofErr w:type="spellStart"/>
      <w:r w:rsidRPr="00E7192F">
        <w:rPr>
          <w:rFonts w:ascii="Times New Roman" w:hAnsi="Times New Roman" w:cs="Times New Roman"/>
          <w:i/>
          <w:sz w:val="24"/>
          <w:szCs w:val="24"/>
        </w:rPr>
        <w:t>Agro</w:t>
      </w:r>
      <w:proofErr w:type="spellEnd"/>
      <w:r w:rsidRPr="00E7192F">
        <w:rPr>
          <w:rFonts w:ascii="Times New Roman" w:hAnsi="Times New Roman" w:cs="Times New Roman"/>
          <w:i/>
          <w:sz w:val="24"/>
          <w:szCs w:val="24"/>
        </w:rPr>
        <w:t>-Ecological Zones (GAEZ, upper panels) and Agricultural Model Intercomparison and Improvement Project (</w:t>
      </w:r>
      <w:proofErr w:type="spellStart"/>
      <w:r w:rsidRPr="00E7192F">
        <w:rPr>
          <w:rFonts w:ascii="Times New Roman" w:hAnsi="Times New Roman" w:cs="Times New Roman"/>
          <w:i/>
          <w:sz w:val="24"/>
          <w:szCs w:val="24"/>
        </w:rPr>
        <w:t>AgMIP</w:t>
      </w:r>
      <w:proofErr w:type="spellEnd"/>
      <w:r w:rsidRPr="00E7192F">
        <w:rPr>
          <w:rFonts w:ascii="Times New Roman" w:hAnsi="Times New Roman" w:cs="Times New Roman"/>
          <w:i/>
          <w:sz w:val="24"/>
          <w:szCs w:val="24"/>
        </w:rPr>
        <w:t xml:space="preserve">, bottom panels) for rainfed (R) and irrigated (I) maize, rice, and wheat in important producing regions and at three spatial scales: </w:t>
      </w:r>
      <w:proofErr w:type="gramStart"/>
      <w:r w:rsidRPr="00E7192F">
        <w:rPr>
          <w:rFonts w:ascii="Times New Roman" w:hAnsi="Times New Roman" w:cs="Times New Roman"/>
          <w:i/>
          <w:sz w:val="24"/>
          <w:szCs w:val="24"/>
        </w:rPr>
        <w:t>local ,</w:t>
      </w:r>
      <w:proofErr w:type="gramEnd"/>
      <w:r w:rsidRPr="00E7192F">
        <w:rPr>
          <w:rFonts w:ascii="Times New Roman" w:hAnsi="Times New Roman" w:cs="Times New Roman"/>
          <w:i/>
          <w:sz w:val="24"/>
          <w:szCs w:val="24"/>
        </w:rPr>
        <w:t xml:space="preserve"> regional (climate zone), and national or sub-continental. Inside each panel, dashed areas indicate negative yield gaps. Each data point represents the average yield gap. The dashed line corresponds to x = y. Comparisons for other cropping systems are shown in the Supplementary Materials.</w:t>
      </w:r>
      <w:r w:rsidRPr="00872008">
        <w:rPr>
          <w:rFonts w:ascii="Times New Roman" w:hAnsi="Times New Roman" w:cs="Times New Roman"/>
          <w:sz w:val="24"/>
          <w:szCs w:val="24"/>
        </w:rPr>
        <w:t xml:space="preserve"> </w:t>
      </w:r>
    </w:p>
    <w:p w14:paraId="6B7EE47F" w14:textId="77777777" w:rsidR="00F43A0B" w:rsidRDefault="00F43A0B" w:rsidP="00F43A0B">
      <w:pPr>
        <w:spacing w:after="0"/>
        <w:rPr>
          <w:rFonts w:ascii="Times New Roman" w:hAnsi="Times New Roman" w:cs="Times New Roman"/>
          <w:sz w:val="24"/>
          <w:szCs w:val="24"/>
        </w:rPr>
      </w:pPr>
    </w:p>
    <w:p w14:paraId="7E10CBB4" w14:textId="77777777" w:rsidR="00F43A0B" w:rsidRDefault="00F43A0B" w:rsidP="00F43A0B">
      <w:pPr>
        <w:spacing w:after="0"/>
        <w:rPr>
          <w:rFonts w:ascii="Times New Roman" w:hAnsi="Times New Roman" w:cs="Times New Roman"/>
          <w:sz w:val="24"/>
          <w:szCs w:val="24"/>
        </w:rPr>
        <w:sectPr w:rsidR="00F43A0B" w:rsidSect="00DE2972">
          <w:pgSz w:w="12240" w:h="15840"/>
          <w:pgMar w:top="1440" w:right="1440" w:bottom="1440" w:left="1170" w:header="720" w:footer="720" w:gutter="0"/>
          <w:lnNumType w:countBy="1" w:restart="continuous"/>
          <w:cols w:space="720"/>
          <w:docGrid w:linePitch="360"/>
        </w:sectPr>
      </w:pPr>
    </w:p>
    <w:p w14:paraId="6563A410" w14:textId="77777777" w:rsidR="00F43A0B" w:rsidRPr="00872008" w:rsidRDefault="00F43A0B" w:rsidP="00F43A0B">
      <w:pPr>
        <w:spacing w:after="0" w:line="480" w:lineRule="auto"/>
        <w:rPr>
          <w:rFonts w:ascii="Times New Roman" w:hAnsi="Times New Roman" w:cs="Times New Roman"/>
          <w:sz w:val="24"/>
        </w:rPr>
      </w:pPr>
      <w:r w:rsidRPr="00872008">
        <w:rPr>
          <w:noProof/>
          <w:sz w:val="16"/>
          <w:szCs w:val="16"/>
        </w:rPr>
        <w:lastRenderedPageBreak/>
        <w:drawing>
          <wp:inline distT="0" distB="0" distL="0" distR="0" wp14:anchorId="3962E519" wp14:editId="21FBD457">
            <wp:extent cx="5943600" cy="148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roaches comparis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88975"/>
                    </a:xfrm>
                    <a:prstGeom prst="rect">
                      <a:avLst/>
                    </a:prstGeom>
                  </pic:spPr>
                </pic:pic>
              </a:graphicData>
            </a:graphic>
          </wp:inline>
        </w:drawing>
      </w:r>
    </w:p>
    <w:p w14:paraId="3A99D467" w14:textId="77777777" w:rsidR="00F43A0B" w:rsidRPr="00872008" w:rsidRDefault="00F43A0B" w:rsidP="00F43A0B">
      <w:pPr>
        <w:spacing w:after="0"/>
        <w:rPr>
          <w:rFonts w:ascii="Times New Roman" w:hAnsi="Times New Roman" w:cs="Times New Roman"/>
          <w:i/>
          <w:sz w:val="24"/>
          <w:szCs w:val="24"/>
        </w:rPr>
      </w:pPr>
      <w:r>
        <w:rPr>
          <w:rFonts w:ascii="Times New Roman" w:hAnsi="Times New Roman" w:cs="Times New Roman"/>
          <w:b/>
          <w:sz w:val="24"/>
          <w:szCs w:val="24"/>
        </w:rPr>
        <w:t xml:space="preserve">Extended Data </w:t>
      </w:r>
      <w:r w:rsidRPr="00872008">
        <w:rPr>
          <w:rFonts w:ascii="Times New Roman" w:hAnsi="Times New Roman" w:cs="Times New Roman"/>
          <w:b/>
          <w:sz w:val="24"/>
          <w:szCs w:val="24"/>
        </w:rPr>
        <w:t>Fig</w:t>
      </w:r>
      <w:r>
        <w:rPr>
          <w:rFonts w:ascii="Times New Roman" w:hAnsi="Times New Roman" w:cs="Times New Roman"/>
          <w:b/>
          <w:sz w:val="24"/>
          <w:szCs w:val="24"/>
        </w:rPr>
        <w:t>ure</w:t>
      </w:r>
      <w:r w:rsidRPr="00872008">
        <w:rPr>
          <w:rFonts w:ascii="Times New Roman" w:hAnsi="Times New Roman" w:cs="Times New Roman"/>
          <w:b/>
          <w:sz w:val="24"/>
          <w:szCs w:val="24"/>
        </w:rPr>
        <w:t xml:space="preserve"> </w:t>
      </w:r>
      <w:r>
        <w:rPr>
          <w:rFonts w:ascii="Times New Roman" w:hAnsi="Times New Roman" w:cs="Times New Roman"/>
          <w:b/>
          <w:sz w:val="24"/>
          <w:szCs w:val="24"/>
        </w:rPr>
        <w:t>3</w:t>
      </w:r>
      <w:r w:rsidRPr="00872008">
        <w:rPr>
          <w:rFonts w:ascii="Times New Roman" w:hAnsi="Times New Roman" w:cs="Times New Roman"/>
          <w:b/>
          <w:sz w:val="24"/>
          <w:szCs w:val="24"/>
        </w:rPr>
        <w:t>:</w:t>
      </w:r>
      <w:r w:rsidRPr="00872008">
        <w:rPr>
          <w:rFonts w:ascii="Times New Roman" w:hAnsi="Times New Roman" w:cs="Times New Roman"/>
          <w:sz w:val="24"/>
          <w:szCs w:val="24"/>
        </w:rPr>
        <w:t xml:space="preserve"> </w:t>
      </w:r>
      <w:r w:rsidRPr="00872008">
        <w:rPr>
          <w:rFonts w:ascii="Times New Roman" w:hAnsi="Times New Roman" w:cs="Times New Roman"/>
          <w:b/>
          <w:i/>
          <w:sz w:val="24"/>
          <w:szCs w:val="24"/>
        </w:rPr>
        <w:t xml:space="preserve">Yield potential derived from top-down and bottom-up approaches. </w:t>
      </w:r>
      <w:r w:rsidRPr="00872008">
        <w:rPr>
          <w:rFonts w:ascii="Times New Roman" w:hAnsi="Times New Roman" w:cs="Times New Roman"/>
          <w:i/>
          <w:sz w:val="24"/>
          <w:szCs w:val="24"/>
        </w:rPr>
        <w:t xml:space="preserve">Comparison of water limited yield potential estimated for rainfed maize in the US Corn Belt following top-down (GAEZ and </w:t>
      </w:r>
      <w:proofErr w:type="spellStart"/>
      <w:r w:rsidRPr="00872008">
        <w:rPr>
          <w:rFonts w:ascii="Times New Roman" w:hAnsi="Times New Roman" w:cs="Times New Roman"/>
          <w:i/>
          <w:sz w:val="24"/>
          <w:szCs w:val="24"/>
        </w:rPr>
        <w:t>AgMIP</w:t>
      </w:r>
      <w:proofErr w:type="spellEnd"/>
      <w:r w:rsidRPr="00872008">
        <w:rPr>
          <w:rFonts w:ascii="Times New Roman" w:hAnsi="Times New Roman" w:cs="Times New Roman"/>
          <w:i/>
          <w:sz w:val="24"/>
          <w:szCs w:val="24"/>
        </w:rPr>
        <w:t>) and bottom-up (GAEZ) approaches. Figures show three spatial resolution: local (buffer with blue borders), sub-national (climate zone with red borders), and national. For simplicity, only one buffer and one climate zone are shown.</w:t>
      </w:r>
    </w:p>
    <w:p w14:paraId="3A763E0C" w14:textId="77777777" w:rsidR="00F43A0B" w:rsidRPr="00872008" w:rsidRDefault="00F43A0B" w:rsidP="00F43A0B">
      <w:pPr>
        <w:spacing w:after="0"/>
        <w:rPr>
          <w:rFonts w:ascii="Times New Roman" w:hAnsi="Times New Roman" w:cs="Times New Roman"/>
          <w:sz w:val="24"/>
          <w:szCs w:val="24"/>
        </w:rPr>
      </w:pPr>
    </w:p>
    <w:p w14:paraId="654BEA1C" w14:textId="77777777" w:rsidR="00FD28EB" w:rsidRDefault="00FD28EB"/>
    <w:sectPr w:rsidR="00FD28EB" w:rsidSect="00DE2972">
      <w:pgSz w:w="12240" w:h="15840"/>
      <w:pgMar w:top="1440" w:right="1440" w:bottom="1440" w:left="117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87662710"/>
      <w:docPartObj>
        <w:docPartGallery w:val="Page Numbers (Bottom of Page)"/>
        <w:docPartUnique/>
      </w:docPartObj>
    </w:sdtPr>
    <w:sdtEndPr>
      <w:rPr>
        <w:rStyle w:val="PageNumber"/>
      </w:rPr>
    </w:sdtEndPr>
    <w:sdtContent>
      <w:p w14:paraId="550DC26E" w14:textId="77777777" w:rsidR="00564FB3" w:rsidRDefault="00F43A0B" w:rsidP="002969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E8D1FA" w14:textId="77777777" w:rsidR="00564FB3" w:rsidRDefault="00F43A0B" w:rsidP="00057D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771705"/>
      <w:docPartObj>
        <w:docPartGallery w:val="Page Numbers (Bottom of Page)"/>
        <w:docPartUnique/>
      </w:docPartObj>
    </w:sdtPr>
    <w:sdtEndPr>
      <w:rPr>
        <w:noProof/>
      </w:rPr>
    </w:sdtEndPr>
    <w:sdtContent>
      <w:p w14:paraId="19F70CAA" w14:textId="77777777" w:rsidR="00564FB3" w:rsidRDefault="00F43A0B">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35AD88A3" w14:textId="77777777" w:rsidR="00564FB3" w:rsidRDefault="00F43A0B" w:rsidP="000A5C34">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A0B"/>
    <w:rsid w:val="00F43A0B"/>
    <w:rsid w:val="00FD2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0C14"/>
  <w15:chartTrackingRefBased/>
  <w15:docId w15:val="{7900D22D-218C-48AD-BFED-77102D3B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A0B"/>
    <w:pPr>
      <w:ind w:left="720"/>
      <w:contextualSpacing/>
    </w:pPr>
  </w:style>
  <w:style w:type="paragraph" w:styleId="Footer">
    <w:name w:val="footer"/>
    <w:basedOn w:val="Normal"/>
    <w:link w:val="FooterChar"/>
    <w:uiPriority w:val="99"/>
    <w:unhideWhenUsed/>
    <w:rsid w:val="00F43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A0B"/>
  </w:style>
  <w:style w:type="character" w:styleId="PageNumber">
    <w:name w:val="page number"/>
    <w:basedOn w:val="DefaultParagraphFont"/>
    <w:uiPriority w:val="99"/>
    <w:semiHidden/>
    <w:unhideWhenUsed/>
    <w:rsid w:val="00F43A0B"/>
  </w:style>
  <w:style w:type="character" w:styleId="LineNumber">
    <w:name w:val="line number"/>
    <w:basedOn w:val="DefaultParagraphFont"/>
    <w:uiPriority w:val="99"/>
    <w:semiHidden/>
    <w:unhideWhenUsed/>
    <w:rsid w:val="00F4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footer" Target="footer1.xm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223</Words>
  <Characters>1272</Characters>
  <Application>Microsoft Office Word</Application>
  <DocSecurity>0</DocSecurity>
  <Lines>10</Lines>
  <Paragraphs>2</Paragraphs>
  <ScaleCrop>false</ScaleCrop>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2021-02-28T20:30:00Z</dcterms:created>
  <dcterms:modified xsi:type="dcterms:W3CDTF">2021-02-28T20:30:00Z</dcterms:modified>
</cp:coreProperties>
</file>