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/>
          <w:b/>
          <w:bCs/>
          <w:kern w:val="0"/>
          <w:sz w:val="24"/>
          <w:szCs w:val="24"/>
        </w:rPr>
        <w:t>Supplementary Table S5.</w:t>
      </w: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 xml:space="preserve">Prognosis </w:t>
      </w:r>
      <w:r>
        <w:rPr>
          <w:rFonts w:ascii="Times New Roman" w:hAnsi="Times New Roman" w:cs="Times New Roman"/>
          <w:sz w:val="24"/>
          <w:szCs w:val="24"/>
        </w:rPr>
        <w:t>of NSCLC based on cut-off value of CTCs.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宋体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tbl>
      <w:tblPr>
        <w:tblStyle w:val="5"/>
        <w:tblpPr w:leftFromText="180" w:rightFromText="180" w:vertAnchor="page" w:horzAnchor="page" w:tblpX="1787" w:tblpY="2238"/>
        <w:tblOverlap w:val="never"/>
        <w:tblW w:w="545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1226"/>
        <w:gridCol w:w="1860"/>
        <w:gridCol w:w="2020"/>
        <w:gridCol w:w="2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16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Actual</w:t>
            </w:r>
          </w:p>
          <w:p>
            <w:pPr>
              <w:jc w:val="center"/>
              <w:rPr>
                <w:rFonts w:ascii="Times New Roman" w:hAnsi="Times New Roman" w:eastAsia="等线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</w:rPr>
              <w:t>Progression (%)</w:t>
            </w:r>
          </w:p>
        </w:tc>
        <w:tc>
          <w:tcPr>
            <w:tcW w:w="108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CTC ≥ 0.5</w:t>
            </w:r>
          </w:p>
          <w:p>
            <w:pPr>
              <w:jc w:val="center"/>
              <w:rPr>
                <w:rFonts w:ascii="Times New Roman" w:hAnsi="Times New Roman" w:eastAsia="等线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</w:rPr>
              <w:t>Progression (%)</w:t>
            </w:r>
          </w:p>
        </w:tc>
        <w:tc>
          <w:tcPr>
            <w:tcW w:w="108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63" w:type="pc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Stage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I (33)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12（36.36）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(24.2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)</w:t>
            </w:r>
          </w:p>
        </w:tc>
        <w:tc>
          <w:tcPr>
            <w:tcW w:w="1089" w:type="pc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0.952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II (10)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4（40.00）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3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III (19)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14（73.68）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13 (68.4)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IV (1)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1（100.00）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 (100.0)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Chemotherapy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Y (41)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18（43.90）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14 (34.1)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0.877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N (22)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13（59.09）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11 (50.0)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Pathological type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AC 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(37)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19（51.35）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 (48.6)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0.649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SC (25)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11（44.00）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6 (24.0)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Others (1)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1（100.00）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 (100.0)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Smoking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Y (37)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20（54.05）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16 (43.2)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0.968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N (26)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11（42.31）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9 (34.6)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Gender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Male (46)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23（50.00）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 (37.0)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Female (17)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8（47.06）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8 (47.1)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Age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≥60 (19)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8（42.11）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6 (31.6)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0.877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63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＜60 (44)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23（52.27）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19 (43.2)</w:t>
            </w:r>
          </w:p>
        </w:tc>
        <w:tc>
          <w:tcPr>
            <w:tcW w:w="1089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宋体" w:hAnsi="宋体" w:eastAsia="宋体"/>
          <w:szCs w:val="21"/>
        </w:rPr>
      </w:pPr>
    </w:p>
    <w:p/>
    <w:sectPr>
      <w:type w:val="continuous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208BA"/>
    <w:rsid w:val="000C0609"/>
    <w:rsid w:val="006741D3"/>
    <w:rsid w:val="006A50E7"/>
    <w:rsid w:val="00A83332"/>
    <w:rsid w:val="00C135D3"/>
    <w:rsid w:val="4CA13064"/>
    <w:rsid w:val="593855E2"/>
    <w:rsid w:val="5E2208BA"/>
    <w:rsid w:val="5F2F083A"/>
    <w:rsid w:val="68CA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516</Characters>
  <Lines>4</Lines>
  <Paragraphs>1</Paragraphs>
  <TotalTime>0</TotalTime>
  <ScaleCrop>false</ScaleCrop>
  <LinksUpToDate>false</LinksUpToDate>
  <CharactersWithSpaces>605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2020-07-06T07:56:00Z</dcterms:created>
  <dc:creator>李静尧</dc:creator>
  <cp:lastModifiedBy>李静尧</cp:lastModifiedBy>
  <dcterms:modified xsi:type="dcterms:W3CDTF">2020-08-17T08:26:28Z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