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FA4B9" w14:textId="77777777" w:rsidR="00F858B6" w:rsidRPr="00A47877" w:rsidRDefault="00F858B6" w:rsidP="00F858B6">
      <w:pPr>
        <w:pStyle w:val="Heading2"/>
        <w:spacing w:line="480" w:lineRule="auto"/>
        <w:rPr>
          <w:lang w:val="en-US"/>
        </w:rPr>
      </w:pPr>
      <w:r w:rsidRPr="00A47877">
        <w:rPr>
          <w:lang w:val="en-US"/>
        </w:rPr>
        <w:t xml:space="preserve">Plant </w:t>
      </w:r>
      <w:r w:rsidRPr="0058328D">
        <w:t>material</w:t>
      </w:r>
      <w:r w:rsidRPr="00A47877">
        <w:rPr>
          <w:lang w:val="en-US"/>
        </w:rPr>
        <w:t xml:space="preserve"> </w:t>
      </w:r>
      <w:r>
        <w:rPr>
          <w:lang w:val="en-US"/>
        </w:rPr>
        <w:t>and genotypic data</w:t>
      </w:r>
    </w:p>
    <w:p w14:paraId="2D8F1969" w14:textId="77777777" w:rsidR="00F858B6" w:rsidRPr="00D70143" w:rsidRDefault="00F858B6" w:rsidP="00F858B6">
      <w:pPr>
        <w:widowControl w:val="0"/>
        <w:autoSpaceDE w:val="0"/>
        <w:autoSpaceDN w:val="0"/>
        <w:adjustRightInd w:val="0"/>
        <w:spacing w:after="240" w:line="480" w:lineRule="auto"/>
        <w:rPr>
          <w:rFonts w:cs="Times New Roman"/>
        </w:rPr>
      </w:pPr>
      <w:r w:rsidRPr="00D70143">
        <w:rPr>
          <w:rFonts w:cs="Times New Roman"/>
        </w:rPr>
        <w:t xml:space="preserve">The study used data evaluated for a diverse </w:t>
      </w:r>
      <w:proofErr w:type="spellStart"/>
      <w:r w:rsidRPr="00D70143">
        <w:rPr>
          <w:rFonts w:cs="Times New Roman"/>
          <w:i/>
          <w:iCs/>
        </w:rPr>
        <w:t>indica-aus</w:t>
      </w:r>
      <w:proofErr w:type="spellEnd"/>
      <w:r w:rsidRPr="00D70143">
        <w:rPr>
          <w:rFonts w:cs="Times New Roman"/>
        </w:rPr>
        <w:t xml:space="preserve"> rice panel of 280 accessions, of which 245 represent the four major genetic subgroups belonging to </w:t>
      </w:r>
      <w:proofErr w:type="spellStart"/>
      <w:r w:rsidRPr="00D70143">
        <w:rPr>
          <w:rFonts w:cs="Times New Roman"/>
          <w:i/>
        </w:rPr>
        <w:t>indica</w:t>
      </w:r>
      <w:proofErr w:type="spellEnd"/>
      <w:r w:rsidRPr="00D70143">
        <w:rPr>
          <w:rFonts w:cs="Times New Roman"/>
          <w:i/>
        </w:rPr>
        <w:t xml:space="preserve"> </w:t>
      </w:r>
      <w:r w:rsidRPr="00D70143">
        <w:rPr>
          <w:rFonts w:cs="Times New Roman"/>
        </w:rPr>
        <w:t>genetic background and 35 to</w:t>
      </w:r>
      <w:r w:rsidRPr="00D70143">
        <w:rPr>
          <w:rFonts w:cs="Times New Roman"/>
          <w:i/>
        </w:rPr>
        <w:t xml:space="preserve"> </w:t>
      </w:r>
      <w:proofErr w:type="spellStart"/>
      <w:r w:rsidRPr="00D70143">
        <w:rPr>
          <w:rFonts w:cs="Times New Roman"/>
          <w:i/>
        </w:rPr>
        <w:t>aus</w:t>
      </w:r>
      <w:proofErr w:type="spellEnd"/>
      <w:r w:rsidRPr="00D70143">
        <w:rPr>
          <w:rFonts w:cs="Times New Roman"/>
          <w:i/>
        </w:rPr>
        <w:t xml:space="preserve"> </w:t>
      </w:r>
      <w:r w:rsidRPr="00D70143">
        <w:rPr>
          <w:rFonts w:cs="Times New Roman"/>
        </w:rPr>
        <w:t>genetic background (</w:t>
      </w:r>
      <w:r w:rsidRPr="009A14AE">
        <w:rPr>
          <w:rFonts w:cs="Times New Roman"/>
        </w:rPr>
        <w:t xml:space="preserve">Additional file </w:t>
      </w:r>
      <w:r>
        <w:rPr>
          <w:rFonts w:cs="Times New Roman"/>
          <w:color w:val="2F5496" w:themeColor="accent1" w:themeShade="BF"/>
        </w:rPr>
        <w:t>1</w:t>
      </w:r>
      <w:r w:rsidRPr="009A14AE">
        <w:rPr>
          <w:rFonts w:cs="Times New Roman"/>
        </w:rPr>
        <w:t>: Table S4</w:t>
      </w:r>
      <w:r w:rsidRPr="00D70143">
        <w:rPr>
          <w:rFonts w:cs="Times New Roman"/>
        </w:rPr>
        <w:t>). They were selected from the 3000 accessions recently re-sequenced within the framework of the Rice Genome Project (</w:t>
      </w:r>
      <w:r w:rsidRPr="008A2AC0">
        <w:rPr>
          <w:rFonts w:cs="Times New Roman"/>
        </w:rPr>
        <w:t xml:space="preserve">Li et al. </w:t>
      </w:r>
      <w:r>
        <w:rPr>
          <w:rFonts w:cs="Times New Roman"/>
          <w:color w:val="0070C0"/>
        </w:rPr>
        <w:t>2014</w:t>
      </w:r>
      <w:r w:rsidRPr="00D70143">
        <w:rPr>
          <w:rFonts w:cs="Times New Roman"/>
        </w:rPr>
        <w:t>), for their potential to breeding programs targeting rainfed lowland and upland drought environments in South and South-East Asia. In the selected panel, 215 accessions are landraces originating mainly from Asia and 65 accessions are improved lines. Seeds of the ac</w:t>
      </w:r>
      <w:r>
        <w:rPr>
          <w:rFonts w:cs="Times New Roman"/>
        </w:rPr>
        <w:t>cessions were obtained from the IRRI</w:t>
      </w:r>
      <w:r w:rsidRPr="00D70143">
        <w:rPr>
          <w:rFonts w:cs="Times New Roman"/>
        </w:rPr>
        <w:t xml:space="preserve"> gene bank. </w:t>
      </w:r>
    </w:p>
    <w:p w14:paraId="65CEA091" w14:textId="77777777" w:rsidR="00F858B6" w:rsidRPr="00FB1EE9" w:rsidRDefault="00F858B6" w:rsidP="00F858B6">
      <w:pPr>
        <w:widowControl w:val="0"/>
        <w:tabs>
          <w:tab w:val="left" w:pos="220"/>
          <w:tab w:val="left" w:pos="284"/>
        </w:tabs>
        <w:autoSpaceDE w:val="0"/>
        <w:autoSpaceDN w:val="0"/>
        <w:adjustRightInd w:val="0"/>
        <w:spacing w:after="266" w:line="480" w:lineRule="auto"/>
        <w:rPr>
          <w:rFonts w:cs="Times New Roman"/>
        </w:rPr>
      </w:pPr>
      <w:r w:rsidRPr="00D70143">
        <w:rPr>
          <w:rFonts w:cs="Times New Roman"/>
        </w:rPr>
        <w:t>The genotypic data for the 280 accessions w</w:t>
      </w:r>
      <w:r>
        <w:rPr>
          <w:rFonts w:cs="Times New Roman"/>
        </w:rPr>
        <w:t>ere</w:t>
      </w:r>
      <w:r w:rsidRPr="00D70143">
        <w:rPr>
          <w:rFonts w:cs="Times New Roman"/>
        </w:rPr>
        <w:t xml:space="preserve"> obtained from the International Rice Informatics Consortium (IRIC) database for the 3,000 rice genomes project (</w:t>
      </w:r>
      <w:r w:rsidRPr="00D70143">
        <w:rPr>
          <w:rFonts w:cs="Times New Roman"/>
          <w:color w:val="0070C0"/>
        </w:rPr>
        <w:t>http://oryzasnp.org/iric-portal</w:t>
      </w:r>
      <w:r w:rsidRPr="00D70143">
        <w:rPr>
          <w:rFonts w:cs="Times New Roman"/>
        </w:rPr>
        <w:t xml:space="preserve">). The raw genotypic data extracted from the database contained 962k SNPs.  The filtering for missing data (≤ 20%), minor allele frequency (MAF) ≥ 2% and rate of heterozygosity (Ho) ≤ 5% led to </w:t>
      </w:r>
      <w:r>
        <w:rPr>
          <w:rFonts w:cs="Times New Roman"/>
        </w:rPr>
        <w:t xml:space="preserve">a </w:t>
      </w:r>
      <w:r w:rsidRPr="00D70143">
        <w:rPr>
          <w:rFonts w:cs="Times New Roman"/>
        </w:rPr>
        <w:t>working set of 215,250 SNPs</w:t>
      </w:r>
      <w:r>
        <w:rPr>
          <w:rFonts w:cs="Times New Roman"/>
        </w:rPr>
        <w:t>, referred to as 215k set</w:t>
      </w:r>
      <w:r w:rsidRPr="00D70143">
        <w:rPr>
          <w:rFonts w:cs="Times New Roman"/>
        </w:rPr>
        <w:t xml:space="preserve">. This panel and the associated genotypic data were previously described in </w:t>
      </w:r>
      <w:r w:rsidRPr="008A2AC0">
        <w:rPr>
          <w:rFonts w:cs="Times New Roman"/>
        </w:rPr>
        <w:t>Bhandari et al. (</w:t>
      </w:r>
      <w:r w:rsidRPr="00D70143">
        <w:rPr>
          <w:rFonts w:cs="Times New Roman"/>
          <w:color w:val="0070C0"/>
        </w:rPr>
        <w:t>2019</w:t>
      </w:r>
      <w:r w:rsidRPr="008A2AC0">
        <w:rPr>
          <w:rFonts w:cs="Times New Roman"/>
        </w:rPr>
        <w:t>).</w:t>
      </w:r>
    </w:p>
    <w:p w14:paraId="42F2C932" w14:textId="77777777" w:rsidR="00F858B6" w:rsidRPr="00A47877" w:rsidRDefault="00F858B6" w:rsidP="00F858B6">
      <w:pPr>
        <w:pStyle w:val="Heading2"/>
        <w:spacing w:line="480" w:lineRule="auto"/>
      </w:pPr>
      <w:r w:rsidRPr="0058328D">
        <w:t>Phenotyping</w:t>
      </w:r>
      <w:r w:rsidRPr="00A47877">
        <w:t xml:space="preserve"> of population </w:t>
      </w:r>
    </w:p>
    <w:p w14:paraId="771D59EE" w14:textId="77777777" w:rsidR="00F858B6" w:rsidRDefault="00F858B6" w:rsidP="00F858B6">
      <w:pPr>
        <w:pStyle w:val="Heading3"/>
        <w:spacing w:line="480" w:lineRule="auto"/>
      </w:pPr>
      <w:r w:rsidRPr="00963D6C">
        <w:t>Experim</w:t>
      </w:r>
      <w:r>
        <w:t xml:space="preserve">ental </w:t>
      </w:r>
      <w:r w:rsidRPr="0058328D">
        <w:t>design</w:t>
      </w:r>
      <w:r>
        <w:t xml:space="preserve"> and crop management</w:t>
      </w:r>
    </w:p>
    <w:p w14:paraId="3C0FE657" w14:textId="77777777" w:rsidR="00F858B6" w:rsidRPr="00EA67DC" w:rsidRDefault="00F858B6" w:rsidP="00F858B6">
      <w:pPr>
        <w:widowControl w:val="0"/>
        <w:autoSpaceDE w:val="0"/>
        <w:autoSpaceDN w:val="0"/>
        <w:adjustRightInd w:val="0"/>
        <w:spacing w:after="240" w:line="480" w:lineRule="auto"/>
        <w:rPr>
          <w:rFonts w:cs="Times New Roman"/>
          <w:b/>
          <w:i/>
          <w:lang w:val="en-US"/>
        </w:rPr>
      </w:pPr>
      <w:r w:rsidRPr="00963D6C">
        <w:rPr>
          <w:rFonts w:cs="Times New Roman"/>
          <w:lang w:val="en-US"/>
        </w:rPr>
        <w:t>Six</w:t>
      </w:r>
      <w:r w:rsidRPr="00FB1EE9">
        <w:rPr>
          <w:rFonts w:cs="Times New Roman"/>
          <w:lang w:val="en-US"/>
        </w:rPr>
        <w:t xml:space="preserve"> experiments (</w:t>
      </w:r>
      <w:r w:rsidRPr="001F76E6">
        <w:rPr>
          <w:rFonts w:cs="Times New Roman"/>
          <w:lang w:val="en-US"/>
        </w:rPr>
        <w:t xml:space="preserve">Additional file </w:t>
      </w:r>
      <w:r>
        <w:rPr>
          <w:rFonts w:cs="Times New Roman"/>
          <w:color w:val="2F5496" w:themeColor="accent1" w:themeShade="BF"/>
          <w:lang w:val="en-US"/>
        </w:rPr>
        <w:t>1</w:t>
      </w:r>
      <w:r w:rsidRPr="001F76E6">
        <w:rPr>
          <w:rFonts w:cs="Times New Roman"/>
          <w:lang w:val="en-US"/>
        </w:rPr>
        <w:t>: Table S1</w:t>
      </w:r>
      <w:r w:rsidRPr="009F4E41">
        <w:rPr>
          <w:rFonts w:cs="Times New Roman"/>
          <w:lang w:val="en-US"/>
        </w:rPr>
        <w:t>)</w:t>
      </w:r>
      <w:r w:rsidRPr="00FB1EE9">
        <w:rPr>
          <w:rFonts w:cs="Times New Roman"/>
          <w:color w:val="0000FF"/>
          <w:lang w:val="en-US"/>
        </w:rPr>
        <w:t xml:space="preserve"> </w:t>
      </w:r>
      <w:r w:rsidRPr="00FB1EE9">
        <w:rPr>
          <w:rFonts w:cs="Times New Roman"/>
          <w:lang w:val="en-US"/>
        </w:rPr>
        <w:t xml:space="preserve">were </w:t>
      </w:r>
      <w:r w:rsidRPr="00F873B9">
        <w:rPr>
          <w:rFonts w:cs="Times New Roman"/>
          <w:lang w:val="en-US"/>
        </w:rPr>
        <w:t>conducted in the 2014 wet season (WS) and 2015 dry season (</w:t>
      </w:r>
      <w:r>
        <w:rPr>
          <w:rFonts w:cs="Times New Roman"/>
          <w:lang w:val="en-US"/>
        </w:rPr>
        <w:t>DS</w:t>
      </w:r>
      <w:r w:rsidRPr="00F873B9">
        <w:rPr>
          <w:rFonts w:cs="Times New Roman"/>
          <w:lang w:val="en-US"/>
        </w:rPr>
        <w:t>) at IRRI (14.18</w:t>
      </w:r>
      <w:r w:rsidRPr="00F873B9">
        <w:rPr>
          <w:rFonts w:cs="Times New Roman"/>
          <w:lang w:val="en-US"/>
        </w:rPr>
        <w:sym w:font="Symbol" w:char="F0B0"/>
      </w:r>
      <w:r w:rsidRPr="00F873B9">
        <w:rPr>
          <w:rFonts w:cs="Times New Roman"/>
          <w:lang w:val="en-US"/>
        </w:rPr>
        <w:t>N, 121.25</w:t>
      </w:r>
      <w:r w:rsidRPr="00F873B9">
        <w:rPr>
          <w:rFonts w:cs="Times New Roman"/>
          <w:lang w:val="en-US"/>
        </w:rPr>
        <w:sym w:font="Symbol" w:char="F0B0"/>
      </w:r>
      <w:r w:rsidRPr="00F873B9">
        <w:rPr>
          <w:rFonts w:cs="Times New Roman"/>
          <w:lang w:val="en-US"/>
        </w:rPr>
        <w:t xml:space="preserve">E), Philippines. In each season, the experiment was conducted under control conditions or non-stress experiment (LL_N) in lowland (under flooded, puddled, transplanted and anaerobic conditions) </w:t>
      </w:r>
      <w:r w:rsidRPr="00A47877">
        <w:rPr>
          <w:rFonts w:cs="Times New Roman"/>
        </w:rPr>
        <w:t>w</w:t>
      </w:r>
      <w:r>
        <w:rPr>
          <w:rFonts w:cs="Times New Roman"/>
        </w:rPr>
        <w:t>hile the reproductive-stage</w:t>
      </w:r>
      <w:r w:rsidRPr="00A47877">
        <w:rPr>
          <w:rFonts w:cs="Times New Roman"/>
        </w:rPr>
        <w:t xml:space="preserve"> drought-</w:t>
      </w:r>
      <w:r w:rsidRPr="00A47877">
        <w:rPr>
          <w:rFonts w:cs="Times New Roman"/>
        </w:rPr>
        <w:lastRenderedPageBreak/>
        <w:t>stress experiments were conducted in lowland and upland (under direct-sown, non-puddled, non-flooded and aerobic conditions in leveled fields) environments, referred as L</w:t>
      </w:r>
      <w:r w:rsidRPr="00F873B9">
        <w:rPr>
          <w:rFonts w:cs="Times New Roman"/>
        </w:rPr>
        <w:t>L_</w:t>
      </w:r>
      <w:r w:rsidRPr="00A47877">
        <w:rPr>
          <w:rFonts w:cs="Times New Roman"/>
        </w:rPr>
        <w:t>S and U</w:t>
      </w:r>
      <w:r w:rsidRPr="00F873B9">
        <w:rPr>
          <w:rFonts w:cs="Times New Roman"/>
        </w:rPr>
        <w:t>L_</w:t>
      </w:r>
      <w:r w:rsidRPr="00A47877">
        <w:rPr>
          <w:rFonts w:cs="Times New Roman"/>
        </w:rPr>
        <w:t>S, respectively</w:t>
      </w:r>
      <w:r w:rsidRPr="00F873B9">
        <w:rPr>
          <w:rFonts w:cs="Times New Roman"/>
          <w:lang w:val="en-US"/>
        </w:rPr>
        <w:t xml:space="preserve">. The </w:t>
      </w:r>
      <w:r>
        <w:rPr>
          <w:rFonts w:cs="Times New Roman"/>
          <w:lang w:val="en-US"/>
        </w:rPr>
        <w:t>LL_N</w:t>
      </w:r>
      <w:r w:rsidRPr="00F873B9">
        <w:rPr>
          <w:rFonts w:cs="Times New Roman"/>
          <w:lang w:val="en-US"/>
        </w:rPr>
        <w:t xml:space="preserve"> experiments were </w:t>
      </w:r>
      <w:r w:rsidRPr="00E4099D">
        <w:rPr>
          <w:rFonts w:cs="Times New Roman"/>
          <w:lang w:val="en-US"/>
        </w:rPr>
        <w:t>established</w:t>
      </w:r>
      <w:r w:rsidRPr="00F873B9">
        <w:rPr>
          <w:rFonts w:cs="Times New Roman"/>
          <w:lang w:val="en-US"/>
        </w:rPr>
        <w:t xml:space="preserve"> in augmented randomized complete block design in single</w:t>
      </w:r>
      <w:r>
        <w:rPr>
          <w:rFonts w:cs="Times New Roman"/>
          <w:lang w:val="en-US"/>
        </w:rPr>
        <w:t>-</w:t>
      </w:r>
      <w:r w:rsidRPr="00F873B9">
        <w:rPr>
          <w:rFonts w:cs="Times New Roman"/>
          <w:lang w:val="en-US"/>
        </w:rPr>
        <w:t xml:space="preserve">row plots </w:t>
      </w:r>
      <w:r w:rsidRPr="00EA67DC">
        <w:rPr>
          <w:rFonts w:cs="Times New Roman"/>
          <w:lang w:val="en-US"/>
        </w:rPr>
        <w:t xml:space="preserve">with 5 m row length. </w:t>
      </w:r>
      <w:r w:rsidRPr="00EA67DC">
        <w:rPr>
          <w:rFonts w:cs="Times New Roman"/>
        </w:rPr>
        <w:t>The LL_S and UL_S experiments were established in a α-lattice design with two replications in single or two-</w:t>
      </w:r>
      <w:r>
        <w:rPr>
          <w:rFonts w:cs="Times New Roman"/>
        </w:rPr>
        <w:t>ro</w:t>
      </w:r>
      <w:r w:rsidRPr="00EA67DC">
        <w:rPr>
          <w:rFonts w:cs="Times New Roman"/>
        </w:rPr>
        <w:t xml:space="preserve">w plots with 5 m row length in lowland and 2–3 m row length in upland. The crop management practices were as described in </w:t>
      </w:r>
      <w:r w:rsidRPr="008A2AC0">
        <w:rPr>
          <w:rFonts w:cs="Times New Roman"/>
        </w:rPr>
        <w:t>Kumar et al. (</w:t>
      </w:r>
      <w:r w:rsidRPr="00EA67DC">
        <w:rPr>
          <w:rFonts w:cs="Times New Roman"/>
          <w:color w:val="2F5496" w:themeColor="accent1" w:themeShade="BF"/>
        </w:rPr>
        <w:t>2014</w:t>
      </w:r>
      <w:r w:rsidRPr="008A2AC0">
        <w:rPr>
          <w:rFonts w:cs="Times New Roman"/>
        </w:rPr>
        <w:t>).</w:t>
      </w:r>
      <w:r w:rsidRPr="00EA67DC">
        <w:rPr>
          <w:rFonts w:cs="Times New Roman"/>
          <w:lang w:val="en-US"/>
        </w:rPr>
        <w:t xml:space="preserve"> </w:t>
      </w:r>
    </w:p>
    <w:p w14:paraId="49045A37" w14:textId="77777777" w:rsidR="00F858B6" w:rsidRPr="00EA67DC" w:rsidRDefault="00F858B6" w:rsidP="00F858B6">
      <w:pPr>
        <w:pStyle w:val="Heading3"/>
        <w:spacing w:line="480" w:lineRule="auto"/>
      </w:pPr>
      <w:r w:rsidRPr="00EA67DC">
        <w:t>Drought application procedure</w:t>
      </w:r>
    </w:p>
    <w:p w14:paraId="4705DC2D" w14:textId="77777777" w:rsidR="00F858B6" w:rsidRPr="00963D6C" w:rsidRDefault="00F858B6" w:rsidP="00F858B6">
      <w:pPr>
        <w:widowControl w:val="0"/>
        <w:autoSpaceDE w:val="0"/>
        <w:autoSpaceDN w:val="0"/>
        <w:adjustRightInd w:val="0"/>
        <w:spacing w:after="240" w:line="480" w:lineRule="auto"/>
        <w:rPr>
          <w:rFonts w:cs="Times New Roman"/>
          <w:b/>
          <w:i/>
          <w:iCs/>
          <w:color w:val="000000" w:themeColor="text1"/>
        </w:rPr>
      </w:pPr>
      <w:r w:rsidRPr="00EA67DC">
        <w:rPr>
          <w:rFonts w:cs="Times New Roman"/>
          <w:color w:val="000000" w:themeColor="text1"/>
        </w:rPr>
        <w:t xml:space="preserve">RS-drought phenotyping was as described in </w:t>
      </w:r>
      <w:r w:rsidRPr="008A2AC0">
        <w:rPr>
          <w:rFonts w:cs="Times New Roman"/>
        </w:rPr>
        <w:t>Kumar et al. (</w:t>
      </w:r>
      <w:r w:rsidRPr="00EA67DC">
        <w:rPr>
          <w:rFonts w:cs="Times New Roman"/>
          <w:color w:val="2F5496" w:themeColor="accent1" w:themeShade="BF"/>
        </w:rPr>
        <w:t>2014</w:t>
      </w:r>
      <w:r w:rsidRPr="008A2AC0">
        <w:rPr>
          <w:rFonts w:cs="Times New Roman"/>
        </w:rPr>
        <w:t>)</w:t>
      </w:r>
      <w:r w:rsidRPr="00EA67DC">
        <w:rPr>
          <w:rFonts w:cs="Times New Roman"/>
          <w:color w:val="000000" w:themeColor="text1"/>
        </w:rPr>
        <w:t>. Briefly, in the LL_S experiments, the field was drained 30 days after transplantation and irrigation</w:t>
      </w:r>
      <w:r w:rsidRPr="0079637D">
        <w:rPr>
          <w:rFonts w:cs="Times New Roman"/>
          <w:color w:val="000000" w:themeColor="text1"/>
        </w:rPr>
        <w:t xml:space="preserve"> was withheld to impose the RS-drought stress. Stress was continued until severe leaf rolling was observed in at least 75% of the accessions and water table depth remained below 100cm for more than </w:t>
      </w:r>
      <w:r>
        <w:rPr>
          <w:rFonts w:cs="Times New Roman"/>
          <w:color w:val="000000" w:themeColor="text1"/>
        </w:rPr>
        <w:t xml:space="preserve">2 </w:t>
      </w:r>
      <w:r w:rsidRPr="0079637D">
        <w:rPr>
          <w:rFonts w:cs="Times New Roman"/>
          <w:color w:val="000000" w:themeColor="text1"/>
        </w:rPr>
        <w:t xml:space="preserve">weeks. Fields were thereafter re-irrigated (flash-flooding -WS and sprinklers - </w:t>
      </w:r>
      <w:r>
        <w:rPr>
          <w:rFonts w:cs="Times New Roman"/>
          <w:color w:val="000000" w:themeColor="text1"/>
        </w:rPr>
        <w:t>DS</w:t>
      </w:r>
      <w:r w:rsidRPr="0079637D">
        <w:rPr>
          <w:rFonts w:cs="Times New Roman"/>
          <w:color w:val="000000" w:themeColor="text1"/>
        </w:rPr>
        <w:t xml:space="preserve">) and the water was drained after 24 hours to impose a subsequent cycle of drought stress. This cyclic pattern was implemented </w:t>
      </w:r>
      <w:r>
        <w:rPr>
          <w:rFonts w:cs="Times New Roman"/>
          <w:color w:val="000000" w:themeColor="text1"/>
        </w:rPr>
        <w:t>unti</w:t>
      </w:r>
      <w:r w:rsidRPr="0079637D">
        <w:rPr>
          <w:rFonts w:cs="Times New Roman"/>
          <w:color w:val="000000" w:themeColor="text1"/>
        </w:rPr>
        <w:t>l harvest. In the U</w:t>
      </w:r>
      <w:r>
        <w:rPr>
          <w:rFonts w:cs="Times New Roman"/>
          <w:color w:val="000000" w:themeColor="text1"/>
        </w:rPr>
        <w:t>L_</w:t>
      </w:r>
      <w:r w:rsidRPr="0079637D">
        <w:rPr>
          <w:rFonts w:cs="Times New Roman"/>
          <w:color w:val="000000" w:themeColor="text1"/>
        </w:rPr>
        <w:t xml:space="preserve">S experiments, where </w:t>
      </w:r>
      <w:r>
        <w:rPr>
          <w:rFonts w:cs="Times New Roman"/>
          <w:color w:val="000000" w:themeColor="text1"/>
        </w:rPr>
        <w:t xml:space="preserve">the </w:t>
      </w:r>
      <w:r w:rsidRPr="0079637D">
        <w:rPr>
          <w:rFonts w:cs="Times New Roman"/>
          <w:color w:val="000000" w:themeColor="text1"/>
        </w:rPr>
        <w:t xml:space="preserve">crop was established by direct-seeding, RS-drought stress was initiated 45 days after sowing, by withholding sprinkler irrigation until the soil water tension fell below –50 kPa at 30 cm depth. Thereafter, sprinkler-irrigation and subsequent drainage after 24 hours for </w:t>
      </w:r>
      <w:r>
        <w:rPr>
          <w:rFonts w:cs="Times New Roman"/>
          <w:color w:val="000000" w:themeColor="text1"/>
        </w:rPr>
        <w:t xml:space="preserve">the </w:t>
      </w:r>
      <w:r w:rsidRPr="0079637D">
        <w:rPr>
          <w:rFonts w:cs="Times New Roman"/>
          <w:color w:val="000000" w:themeColor="text1"/>
        </w:rPr>
        <w:t>imposition of drought stress were done in a cyclic pattern till harvest.  </w:t>
      </w:r>
      <w:r w:rsidRPr="00F873B9">
        <w:rPr>
          <w:rFonts w:cs="Times New Roman"/>
          <w:i/>
          <w:color w:val="000000" w:themeColor="text1"/>
          <w:lang w:val="en-US"/>
        </w:rPr>
        <w:t xml:space="preserve"> </w:t>
      </w:r>
    </w:p>
    <w:p w14:paraId="46DC8F47" w14:textId="77777777" w:rsidR="00F858B6" w:rsidRPr="00963D6C" w:rsidRDefault="00F858B6" w:rsidP="00F858B6">
      <w:pPr>
        <w:pStyle w:val="Heading3"/>
        <w:spacing w:line="480" w:lineRule="auto"/>
      </w:pPr>
      <w:r>
        <w:t>Traits measured</w:t>
      </w:r>
    </w:p>
    <w:p w14:paraId="167163F9" w14:textId="77777777" w:rsidR="00F858B6" w:rsidRPr="00FB1EE9" w:rsidRDefault="00F858B6" w:rsidP="00F858B6">
      <w:pPr>
        <w:widowControl w:val="0"/>
        <w:autoSpaceDE w:val="0"/>
        <w:autoSpaceDN w:val="0"/>
        <w:adjustRightInd w:val="0"/>
        <w:spacing w:after="240" w:line="480" w:lineRule="auto"/>
        <w:rPr>
          <w:rFonts w:cs="Times New Roman"/>
          <w:lang w:val="en-US"/>
        </w:rPr>
      </w:pPr>
      <w:r w:rsidRPr="00F873B9">
        <w:rPr>
          <w:rFonts w:cs="Times New Roman"/>
          <w:color w:val="000000" w:themeColor="text1"/>
          <w:lang w:val="en-US"/>
        </w:rPr>
        <w:t>For each experiment</w:t>
      </w:r>
      <w:r>
        <w:rPr>
          <w:rFonts w:cs="Times New Roman"/>
          <w:color w:val="000000" w:themeColor="text1"/>
          <w:lang w:val="en-US"/>
        </w:rPr>
        <w:t>,</w:t>
      </w:r>
      <w:r w:rsidRPr="00F873B9">
        <w:rPr>
          <w:rFonts w:cs="Times New Roman"/>
          <w:color w:val="000000" w:themeColor="text1"/>
          <w:lang w:val="en-US"/>
        </w:rPr>
        <w:t xml:space="preserve"> days to 50% flowering (DTF, in days), plant height </w:t>
      </w:r>
      <w:r w:rsidRPr="00FB1EE9">
        <w:rPr>
          <w:rFonts w:cs="Times New Roman"/>
          <w:lang w:val="en-US"/>
        </w:rPr>
        <w:t>(PH, in cm</w:t>
      </w:r>
      <w:r>
        <w:rPr>
          <w:rFonts w:cs="Times New Roman"/>
          <w:lang w:val="en-US"/>
        </w:rPr>
        <w:t>, the average for 3 measurements per plot</w:t>
      </w:r>
      <w:r w:rsidRPr="00FB1EE9">
        <w:rPr>
          <w:rFonts w:cs="Times New Roman"/>
          <w:lang w:val="en-US"/>
        </w:rPr>
        <w:t xml:space="preserve">), </w:t>
      </w:r>
      <w:r>
        <w:rPr>
          <w:rFonts w:cs="Times New Roman"/>
          <w:lang w:val="en-US"/>
        </w:rPr>
        <w:t xml:space="preserve">panicle length (PL, in cm, the average for 3 measurements per plot), </w:t>
      </w:r>
      <w:r>
        <w:rPr>
          <w:rFonts w:cs="Times New Roman"/>
          <w:lang w:val="en-US"/>
        </w:rPr>
        <w:lastRenderedPageBreak/>
        <w:t>flag leaf area (</w:t>
      </w:r>
      <w:proofErr w:type="spellStart"/>
      <w:r>
        <w:rPr>
          <w:rFonts w:cs="Times New Roman"/>
          <w:lang w:val="en-US"/>
        </w:rPr>
        <w:t>FlgLA</w:t>
      </w:r>
      <w:proofErr w:type="spellEnd"/>
      <w:r>
        <w:rPr>
          <w:rFonts w:cs="Times New Roman"/>
          <w:lang w:val="en-US"/>
        </w:rPr>
        <w:t>, in cm</w:t>
      </w:r>
      <w:r w:rsidRPr="00B77D8F">
        <w:rPr>
          <w:rFonts w:cs="Times New Roman"/>
          <w:vertAlign w:val="superscript"/>
          <w:lang w:val="en-US"/>
        </w:rPr>
        <w:t>2</w:t>
      </w:r>
      <w:r>
        <w:rPr>
          <w:rFonts w:cs="Times New Roman"/>
          <w:lang w:val="en-US"/>
        </w:rPr>
        <w:t xml:space="preserve">, the average for 3 measurements per </w:t>
      </w:r>
      <w:r w:rsidRPr="001F76E6">
        <w:rPr>
          <w:rFonts w:cs="Times New Roman"/>
          <w:lang w:val="en-US"/>
        </w:rPr>
        <w:t>plot), dry biomass at maturity (BMDW, in kg ha</w:t>
      </w:r>
      <w:r w:rsidRPr="001F76E6">
        <w:rPr>
          <w:rFonts w:cs="Times New Roman"/>
          <w:vertAlign w:val="superscript"/>
          <w:lang w:val="en-US"/>
        </w:rPr>
        <w:t>-1</w:t>
      </w:r>
      <w:r w:rsidRPr="001F76E6">
        <w:rPr>
          <w:rFonts w:cs="Times New Roman"/>
          <w:lang w:val="en-US"/>
        </w:rPr>
        <w:t>), number of effective panicles (NBP), grain yield (GY, in kg ha</w:t>
      </w:r>
      <w:r w:rsidRPr="001F76E6">
        <w:rPr>
          <w:rFonts w:cs="Times New Roman"/>
          <w:vertAlign w:val="superscript"/>
          <w:lang w:val="en-US"/>
        </w:rPr>
        <w:t>-1</w:t>
      </w:r>
      <w:r w:rsidRPr="001F76E6">
        <w:rPr>
          <w:rFonts w:cs="Times New Roman"/>
          <w:lang w:val="en-US"/>
        </w:rPr>
        <w:t xml:space="preserve">), 1000-grain weight (TGW, in g) and spikelet fertility </w:t>
      </w:r>
      <w:r w:rsidRPr="00FB1EE9">
        <w:rPr>
          <w:rFonts w:cs="Times New Roman"/>
          <w:lang w:val="en-US"/>
        </w:rPr>
        <w:t>(SPKFT</w:t>
      </w:r>
      <w:r>
        <w:rPr>
          <w:rFonts w:cs="Times New Roman"/>
          <w:lang w:val="en-US"/>
        </w:rPr>
        <w:t>, in percentage</w:t>
      </w:r>
      <w:r w:rsidRPr="00FB1EE9">
        <w:rPr>
          <w:rFonts w:cs="Times New Roman"/>
          <w:lang w:val="en-US"/>
        </w:rPr>
        <w:t>)</w:t>
      </w:r>
      <w:r>
        <w:rPr>
          <w:rFonts w:cs="Times New Roman"/>
          <w:lang w:val="en-US"/>
        </w:rPr>
        <w:t xml:space="preserve"> </w:t>
      </w:r>
      <w:r w:rsidRPr="00FB1EE9">
        <w:rPr>
          <w:rFonts w:cs="Times New Roman"/>
          <w:lang w:val="en-US"/>
        </w:rPr>
        <w:t xml:space="preserve"> we</w:t>
      </w:r>
      <w:r>
        <w:rPr>
          <w:rFonts w:cs="Times New Roman"/>
          <w:lang w:val="en-US"/>
        </w:rPr>
        <w:t>re measured in individual plots</w:t>
      </w:r>
      <w:r w:rsidRPr="00FB1EE9">
        <w:rPr>
          <w:rFonts w:cs="Times New Roman"/>
          <w:lang w:val="en-US"/>
        </w:rPr>
        <w:t xml:space="preserve"> and harvest index (HI) was calculated as GY/BMDW. Details of measurement procedures of each trait are given in </w:t>
      </w:r>
      <w:r w:rsidRPr="001F76E6">
        <w:rPr>
          <w:rFonts w:cs="Times New Roman"/>
          <w:lang w:val="en-US"/>
        </w:rPr>
        <w:t xml:space="preserve">Additional file </w:t>
      </w:r>
      <w:r>
        <w:rPr>
          <w:rFonts w:cs="Times New Roman"/>
          <w:color w:val="2F5496" w:themeColor="accent1" w:themeShade="BF"/>
          <w:lang w:val="en-US"/>
        </w:rPr>
        <w:t>1:</w:t>
      </w:r>
      <w:r w:rsidRPr="001F76E6">
        <w:rPr>
          <w:rFonts w:cs="Times New Roman"/>
          <w:lang w:val="en-US"/>
        </w:rPr>
        <w:t xml:space="preserve"> Table S5.</w:t>
      </w:r>
    </w:p>
    <w:p w14:paraId="1714FE62" w14:textId="77777777" w:rsidR="00F858B6" w:rsidRPr="00963D6C" w:rsidRDefault="00F858B6" w:rsidP="00F858B6">
      <w:pPr>
        <w:pStyle w:val="Heading3"/>
        <w:spacing w:line="480" w:lineRule="auto"/>
      </w:pPr>
      <w:r w:rsidRPr="00963D6C">
        <w:t>Analysis of phenotypic data for each trait</w:t>
      </w:r>
    </w:p>
    <w:p w14:paraId="1B6FAE8D" w14:textId="77777777" w:rsidR="00F858B6" w:rsidRPr="00FB1EE9" w:rsidRDefault="00F858B6" w:rsidP="00F858B6">
      <w:pPr>
        <w:widowControl w:val="0"/>
        <w:autoSpaceDE w:val="0"/>
        <w:autoSpaceDN w:val="0"/>
        <w:adjustRightInd w:val="0"/>
        <w:spacing w:after="240" w:line="480" w:lineRule="auto"/>
        <w:rPr>
          <w:rFonts w:cs="Times New Roman"/>
          <w:lang w:val="en-US"/>
        </w:rPr>
      </w:pPr>
      <w:r>
        <w:rPr>
          <w:rFonts w:cs="Times New Roman"/>
          <w:lang w:val="en-US"/>
        </w:rPr>
        <w:t xml:space="preserve">For each trait </w:t>
      </w:r>
      <w:r w:rsidRPr="00FB1EE9">
        <w:rPr>
          <w:rFonts w:cs="Times New Roman"/>
          <w:lang w:val="en-US"/>
        </w:rPr>
        <w:t xml:space="preserve">from each of the </w:t>
      </w:r>
      <w:r>
        <w:rPr>
          <w:rFonts w:cs="Times New Roman"/>
          <w:lang w:val="en-US"/>
        </w:rPr>
        <w:t>six</w:t>
      </w:r>
      <w:r w:rsidRPr="00FB1EE9">
        <w:rPr>
          <w:rFonts w:cs="Times New Roman"/>
          <w:lang w:val="en-US"/>
        </w:rPr>
        <w:t xml:space="preserve"> experiments</w:t>
      </w:r>
      <w:r>
        <w:rPr>
          <w:rFonts w:cs="Times New Roman"/>
          <w:lang w:val="en-US"/>
        </w:rPr>
        <w:t>,</w:t>
      </w:r>
      <w:r w:rsidRPr="00FB1EE9">
        <w:rPr>
          <w:rFonts w:cs="Times New Roman"/>
          <w:lang w:val="en-US"/>
        </w:rPr>
        <w:t xml:space="preserve"> </w:t>
      </w:r>
      <w:r>
        <w:rPr>
          <w:rFonts w:cs="Times New Roman"/>
          <w:lang w:val="en-US"/>
        </w:rPr>
        <w:t>best linear unbiased predictors (</w:t>
      </w:r>
      <w:r w:rsidRPr="00FB1EE9">
        <w:rPr>
          <w:rFonts w:cs="Times New Roman"/>
          <w:lang w:val="en-US"/>
        </w:rPr>
        <w:t>BLUP</w:t>
      </w:r>
      <w:r w:rsidRPr="00EA67DC">
        <w:rPr>
          <w:rFonts w:cs="Times New Roman"/>
          <w:lang w:val="en-US"/>
        </w:rPr>
        <w:t xml:space="preserve">) were estimated using the </w:t>
      </w:r>
      <w:r>
        <w:rPr>
          <w:rFonts w:cs="Times New Roman"/>
          <w:lang w:val="en-US"/>
        </w:rPr>
        <w:t>restriction maximum likelihood method (</w:t>
      </w:r>
      <w:r w:rsidRPr="00EA67DC">
        <w:rPr>
          <w:rFonts w:cs="Times New Roman"/>
          <w:lang w:val="en-US"/>
        </w:rPr>
        <w:t>R</w:t>
      </w:r>
      <w:r>
        <w:rPr>
          <w:rFonts w:cs="Times New Roman"/>
          <w:lang w:val="en-US"/>
        </w:rPr>
        <w:t>EML)</w:t>
      </w:r>
      <w:r w:rsidRPr="00EA67DC">
        <w:rPr>
          <w:rFonts w:cs="Times New Roman"/>
          <w:lang w:val="en-US"/>
        </w:rPr>
        <w:t xml:space="preserve"> in the PROC MIXED procedure of SAS v9.0 (</w:t>
      </w:r>
      <w:r w:rsidRPr="00250BCC">
        <w:rPr>
          <w:rFonts w:cs="Times New Roman"/>
          <w:lang w:val="en-US"/>
        </w:rPr>
        <w:t>SAS Institute Inc., 2002</w:t>
      </w:r>
      <w:r w:rsidRPr="00EA67DC">
        <w:rPr>
          <w:rFonts w:cs="Times New Roman"/>
          <w:lang w:val="en-US"/>
        </w:rPr>
        <w:t>).</w:t>
      </w:r>
      <w:r w:rsidRPr="00FB1EE9">
        <w:rPr>
          <w:rFonts w:cs="Times New Roman"/>
          <w:lang w:val="en-US"/>
        </w:rPr>
        <w:t xml:space="preserve"> Within a season, the performance of a genotype </w:t>
      </w:r>
      <w:r>
        <w:rPr>
          <w:rFonts w:cs="Times New Roman"/>
          <w:lang w:val="en-US"/>
        </w:rPr>
        <w:t>wa</w:t>
      </w:r>
      <w:r w:rsidRPr="00FB1EE9">
        <w:rPr>
          <w:rFonts w:cs="Times New Roman"/>
          <w:lang w:val="en-US"/>
        </w:rPr>
        <w:t xml:space="preserve">s modeled as </w:t>
      </w:r>
      <w:r w:rsidRPr="00FB1EE9">
        <w:rPr>
          <w:rFonts w:cs="Times New Roman"/>
          <w:i/>
          <w:color w:val="3366FF"/>
          <w:lang w:val="en-US"/>
        </w:rPr>
        <w:t>Y</w:t>
      </w:r>
      <w:proofErr w:type="spellStart"/>
      <w:r w:rsidRPr="00A47877">
        <w:rPr>
          <w:rFonts w:cs="Times New Roman"/>
          <w:i/>
          <w:color w:val="3366FF"/>
          <w:vertAlign w:val="subscript"/>
        </w:rPr>
        <w:t>ij</w:t>
      </w:r>
      <w:proofErr w:type="spellEnd"/>
      <w:r w:rsidRPr="00FB1EE9">
        <w:rPr>
          <w:rFonts w:cs="Times New Roman"/>
          <w:i/>
          <w:color w:val="3366FF"/>
          <w:position w:val="-6"/>
          <w:lang w:val="en-US"/>
        </w:rPr>
        <w:t xml:space="preserve"> </w:t>
      </w:r>
      <w:r w:rsidRPr="00FB1EE9">
        <w:rPr>
          <w:rFonts w:cs="Times New Roman"/>
          <w:i/>
          <w:color w:val="3366FF"/>
          <w:lang w:val="en-US"/>
        </w:rPr>
        <w:t>= μ + ß</w:t>
      </w:r>
      <w:proofErr w:type="spellStart"/>
      <w:r w:rsidRPr="00A47877">
        <w:rPr>
          <w:rFonts w:cs="Times New Roman"/>
          <w:i/>
          <w:color w:val="3366FF"/>
          <w:vertAlign w:val="subscript"/>
        </w:rPr>
        <w:t>i</w:t>
      </w:r>
      <w:proofErr w:type="spellEnd"/>
      <w:r w:rsidRPr="00FB1EE9">
        <w:rPr>
          <w:rFonts w:cs="Times New Roman"/>
          <w:i/>
          <w:color w:val="3366FF"/>
          <w:position w:val="-6"/>
          <w:lang w:val="en-US"/>
        </w:rPr>
        <w:t xml:space="preserve"> </w:t>
      </w:r>
      <w:r w:rsidRPr="00FB1EE9">
        <w:rPr>
          <w:rFonts w:cs="Times New Roman"/>
          <w:i/>
          <w:color w:val="3366FF"/>
          <w:lang w:val="en-US"/>
        </w:rPr>
        <w:t>+ c</w:t>
      </w:r>
      <w:r w:rsidRPr="00A47877">
        <w:rPr>
          <w:rFonts w:cs="Times New Roman"/>
          <w:i/>
          <w:color w:val="3366FF"/>
          <w:vertAlign w:val="subscript"/>
        </w:rPr>
        <w:t>j</w:t>
      </w:r>
      <w:r w:rsidRPr="00FB1EE9">
        <w:rPr>
          <w:rFonts w:cs="Times New Roman"/>
          <w:i/>
          <w:color w:val="3366FF"/>
          <w:position w:val="-6"/>
          <w:lang w:val="en-US"/>
        </w:rPr>
        <w:t xml:space="preserve"> </w:t>
      </w:r>
      <w:r w:rsidRPr="00FB1EE9">
        <w:rPr>
          <w:rFonts w:cs="Times New Roman"/>
          <w:i/>
          <w:color w:val="3366FF"/>
          <w:lang w:val="en-US"/>
        </w:rPr>
        <w:t xml:space="preserve">+ </w:t>
      </w:r>
      <w:r w:rsidRPr="00FB1EE9">
        <w:rPr>
          <w:rFonts w:cs="Times New Roman"/>
          <w:i/>
          <w:color w:val="3366FF"/>
        </w:rPr>
        <w:t>α</w:t>
      </w:r>
      <w:proofErr w:type="spellStart"/>
      <w:r w:rsidRPr="00A47877">
        <w:rPr>
          <w:rFonts w:cs="Times New Roman"/>
          <w:i/>
          <w:color w:val="3366FF"/>
          <w:vertAlign w:val="subscript"/>
        </w:rPr>
        <w:t>i</w:t>
      </w:r>
      <w:proofErr w:type="spellEnd"/>
      <w:r w:rsidRPr="00A47877">
        <w:rPr>
          <w:rFonts w:cs="Times New Roman"/>
          <w:i/>
          <w:color w:val="3366FF"/>
          <w:vertAlign w:val="subscript"/>
        </w:rPr>
        <w:t xml:space="preserve"> </w:t>
      </w:r>
      <w:r w:rsidRPr="00FB1EE9">
        <w:rPr>
          <w:rFonts w:cs="Times New Roman"/>
          <w:i/>
          <w:color w:val="3366FF"/>
          <w:lang w:val="en-US"/>
        </w:rPr>
        <w:t>+ ε</w:t>
      </w:r>
      <w:proofErr w:type="spellStart"/>
      <w:r w:rsidRPr="00A47877">
        <w:rPr>
          <w:rFonts w:cs="Times New Roman"/>
          <w:i/>
          <w:color w:val="3366FF"/>
          <w:vertAlign w:val="subscript"/>
        </w:rPr>
        <w:t>ij</w:t>
      </w:r>
      <w:proofErr w:type="spellEnd"/>
      <w:r w:rsidRPr="00FB1EE9">
        <w:rPr>
          <w:rFonts w:cs="Times New Roman"/>
          <w:lang w:val="en-US"/>
        </w:rPr>
        <w:t xml:space="preserve"> for </w:t>
      </w:r>
      <w:r>
        <w:rPr>
          <w:rFonts w:cs="Times New Roman"/>
          <w:lang w:val="en-US"/>
        </w:rPr>
        <w:t xml:space="preserve">augmented randomized complete block design </w:t>
      </w:r>
      <w:r w:rsidRPr="00FB1EE9">
        <w:rPr>
          <w:rFonts w:cs="Times New Roman"/>
          <w:lang w:val="en-US"/>
        </w:rPr>
        <w:t>where Y</w:t>
      </w:r>
      <w:proofErr w:type="spellStart"/>
      <w:r w:rsidRPr="00A47877">
        <w:rPr>
          <w:rFonts w:cs="Times New Roman"/>
          <w:vertAlign w:val="subscript"/>
        </w:rPr>
        <w:t>ij</w:t>
      </w:r>
      <w:proofErr w:type="spellEnd"/>
      <w:r w:rsidRPr="00FB1EE9">
        <w:rPr>
          <w:rFonts w:cs="Times New Roman"/>
          <w:position w:val="-6"/>
          <w:lang w:val="en-US"/>
        </w:rPr>
        <w:t xml:space="preserve"> </w:t>
      </w:r>
      <w:r w:rsidRPr="00FB1EE9">
        <w:rPr>
          <w:rFonts w:cs="Times New Roman"/>
          <w:lang w:val="en-US"/>
        </w:rPr>
        <w:t xml:space="preserve">is the phenotype of the </w:t>
      </w:r>
      <w:proofErr w:type="spellStart"/>
      <w:r w:rsidRPr="00FB1EE9">
        <w:rPr>
          <w:rFonts w:cs="Times New Roman"/>
          <w:lang w:val="en-US"/>
        </w:rPr>
        <w:t>i</w:t>
      </w:r>
      <w:r w:rsidRPr="00FB1EE9">
        <w:rPr>
          <w:rFonts w:cs="Times New Roman"/>
          <w:vertAlign w:val="superscript"/>
          <w:lang w:val="en-US"/>
        </w:rPr>
        <w:t>th</w:t>
      </w:r>
      <w:proofErr w:type="spellEnd"/>
      <w:r w:rsidRPr="00FB1EE9">
        <w:rPr>
          <w:rFonts w:cs="Times New Roman"/>
          <w:lang w:val="en-US"/>
        </w:rPr>
        <w:t xml:space="preserve"> genotype in </w:t>
      </w:r>
      <w:proofErr w:type="spellStart"/>
      <w:r w:rsidRPr="00FB1EE9">
        <w:rPr>
          <w:rFonts w:cs="Times New Roman"/>
          <w:lang w:val="en-US"/>
        </w:rPr>
        <w:t>j</w:t>
      </w:r>
      <w:r w:rsidRPr="00FB1EE9">
        <w:rPr>
          <w:rFonts w:cs="Times New Roman"/>
          <w:vertAlign w:val="superscript"/>
          <w:lang w:val="en-US"/>
        </w:rPr>
        <w:t>th</w:t>
      </w:r>
      <w:proofErr w:type="spellEnd"/>
      <w:r w:rsidRPr="00FB1EE9">
        <w:rPr>
          <w:rFonts w:cs="Times New Roman"/>
          <w:lang w:val="en-US"/>
        </w:rPr>
        <w:t xml:space="preserve"> block, μ the overall mean, ß</w:t>
      </w:r>
      <w:proofErr w:type="spellStart"/>
      <w:r w:rsidRPr="00A47877">
        <w:rPr>
          <w:rFonts w:cs="Times New Roman"/>
          <w:vertAlign w:val="subscript"/>
        </w:rPr>
        <w:t>i</w:t>
      </w:r>
      <w:proofErr w:type="spellEnd"/>
      <w:r w:rsidRPr="00FB1EE9">
        <w:rPr>
          <w:rFonts w:cs="Times New Roman"/>
          <w:position w:val="-6"/>
          <w:lang w:val="en-US"/>
        </w:rPr>
        <w:t xml:space="preserve"> </w:t>
      </w:r>
      <w:r w:rsidRPr="00FB1EE9">
        <w:rPr>
          <w:rFonts w:cs="Times New Roman"/>
          <w:lang w:val="en-US"/>
        </w:rPr>
        <w:t>the block effect which was considered as random, c</w:t>
      </w:r>
      <w:r w:rsidRPr="00A47877">
        <w:rPr>
          <w:rFonts w:cs="Times New Roman"/>
          <w:vertAlign w:val="subscript"/>
        </w:rPr>
        <w:t>j</w:t>
      </w:r>
      <w:r w:rsidRPr="00FB1EE9">
        <w:rPr>
          <w:rFonts w:cs="Times New Roman"/>
          <w:position w:val="-6"/>
          <w:lang w:val="en-US"/>
        </w:rPr>
        <w:t xml:space="preserve"> </w:t>
      </w:r>
      <w:r w:rsidRPr="00FB1EE9">
        <w:rPr>
          <w:rFonts w:cs="Times New Roman"/>
          <w:lang w:val="en-US"/>
        </w:rPr>
        <w:t xml:space="preserve">the checks effect in </w:t>
      </w:r>
      <w:proofErr w:type="spellStart"/>
      <w:r w:rsidRPr="00FB1EE9">
        <w:rPr>
          <w:rFonts w:cs="Times New Roman"/>
          <w:lang w:val="en-US"/>
        </w:rPr>
        <w:t>j</w:t>
      </w:r>
      <w:r w:rsidRPr="00FB1EE9">
        <w:rPr>
          <w:rFonts w:cs="Times New Roman"/>
          <w:vertAlign w:val="superscript"/>
          <w:lang w:val="en-US"/>
        </w:rPr>
        <w:t>th</w:t>
      </w:r>
      <w:proofErr w:type="spellEnd"/>
      <w:r w:rsidRPr="00FB1EE9">
        <w:rPr>
          <w:rFonts w:cs="Times New Roman"/>
          <w:lang w:val="en-US"/>
        </w:rPr>
        <w:t xml:space="preserve"> block which was considered as fixed, α</w:t>
      </w:r>
      <w:proofErr w:type="spellStart"/>
      <w:r w:rsidRPr="00A47877">
        <w:rPr>
          <w:rFonts w:cs="Times New Roman"/>
          <w:vertAlign w:val="subscript"/>
        </w:rPr>
        <w:t>i</w:t>
      </w:r>
      <w:proofErr w:type="spellEnd"/>
      <w:r w:rsidRPr="00FB1EE9">
        <w:rPr>
          <w:rFonts w:cs="Times New Roman"/>
          <w:position w:val="-6"/>
          <w:lang w:val="en-US"/>
        </w:rPr>
        <w:t xml:space="preserve"> </w:t>
      </w:r>
      <w:r w:rsidRPr="00FB1EE9">
        <w:rPr>
          <w:rFonts w:cs="Times New Roman"/>
          <w:lang w:val="en-US"/>
        </w:rPr>
        <w:t xml:space="preserve">the random effect of the </w:t>
      </w:r>
      <w:proofErr w:type="spellStart"/>
      <w:r w:rsidRPr="00FB1EE9">
        <w:rPr>
          <w:rFonts w:cs="Times New Roman"/>
          <w:lang w:val="en-US"/>
        </w:rPr>
        <w:t>i</w:t>
      </w:r>
      <w:r w:rsidRPr="00FB1EE9">
        <w:rPr>
          <w:rFonts w:cs="Times New Roman"/>
          <w:vertAlign w:val="superscript"/>
          <w:lang w:val="en-US"/>
        </w:rPr>
        <w:t>th</w:t>
      </w:r>
      <w:proofErr w:type="spellEnd"/>
      <w:r w:rsidRPr="00FB1EE9">
        <w:rPr>
          <w:rFonts w:cs="Times New Roman"/>
          <w:lang w:val="en-US"/>
        </w:rPr>
        <w:t xml:space="preserve"> genotype and ε</w:t>
      </w:r>
      <w:proofErr w:type="spellStart"/>
      <w:r w:rsidRPr="00A47877">
        <w:rPr>
          <w:rFonts w:cs="Times New Roman"/>
          <w:vertAlign w:val="subscript"/>
        </w:rPr>
        <w:t>ij</w:t>
      </w:r>
      <w:proofErr w:type="spellEnd"/>
      <w:r w:rsidRPr="00FB1EE9">
        <w:rPr>
          <w:rFonts w:cs="Times New Roman"/>
          <w:position w:val="-6"/>
          <w:lang w:val="en-US"/>
        </w:rPr>
        <w:t xml:space="preserve"> </w:t>
      </w:r>
      <w:r>
        <w:rPr>
          <w:rFonts w:cs="Times New Roman"/>
          <w:lang w:val="en-US"/>
        </w:rPr>
        <w:t>i</w:t>
      </w:r>
      <w:r w:rsidRPr="00FB1EE9">
        <w:rPr>
          <w:rFonts w:cs="Times New Roman"/>
          <w:lang w:val="en-US"/>
        </w:rPr>
        <w:t xml:space="preserve">s the residual considered as a random effect. We constructed two variables- “checks” and “genotypes” variables in both </w:t>
      </w:r>
      <w:r>
        <w:rPr>
          <w:rFonts w:cs="Times New Roman"/>
          <w:lang w:val="en-US"/>
        </w:rPr>
        <w:t>WS and DS</w:t>
      </w:r>
      <w:r w:rsidRPr="00FB1EE9">
        <w:rPr>
          <w:rFonts w:cs="Times New Roman"/>
          <w:lang w:val="en-US"/>
        </w:rPr>
        <w:t xml:space="preserve">. Checks refer to the control genotypes included additionally in the experiment to compare the performance of genotypes being tested and were used to recover the block effects. </w:t>
      </w:r>
      <w:r>
        <w:rPr>
          <w:rFonts w:cs="Times New Roman"/>
          <w:lang w:val="en-US"/>
        </w:rPr>
        <w:t xml:space="preserve">For </w:t>
      </w:r>
      <w:r>
        <w:rPr>
          <w:rFonts w:cs="Times New Roman"/>
        </w:rPr>
        <w:t>α-lattice design, genotype performance was modeled as</w:t>
      </w:r>
      <w:r>
        <w:rPr>
          <w:rFonts w:cs="Times New Roman"/>
          <w:lang w:val="en-US"/>
        </w:rPr>
        <w:t xml:space="preserve"> </w:t>
      </w:r>
      <w:proofErr w:type="spellStart"/>
      <w:r w:rsidRPr="00EF24D7">
        <w:rPr>
          <w:rFonts w:cs="Times New Roman"/>
          <w:i/>
          <w:color w:val="2E74B5" w:themeColor="accent5" w:themeShade="BF"/>
        </w:rPr>
        <w:t>Y</w:t>
      </w:r>
      <w:r w:rsidRPr="00EF24D7">
        <w:rPr>
          <w:i/>
          <w:color w:val="2E74B5" w:themeColor="accent5" w:themeShade="BF"/>
          <w:vertAlign w:val="subscript"/>
        </w:rPr>
        <w:t>ijk</w:t>
      </w:r>
      <w:proofErr w:type="spellEnd"/>
      <w:r w:rsidRPr="00EF24D7">
        <w:rPr>
          <w:rFonts w:cs="Times New Roman"/>
          <w:i/>
          <w:color w:val="2E74B5" w:themeColor="accent5" w:themeShade="BF"/>
          <w:position w:val="-6"/>
        </w:rPr>
        <w:t xml:space="preserve"> </w:t>
      </w:r>
      <w:r w:rsidRPr="00EF24D7">
        <w:rPr>
          <w:rFonts w:cs="Times New Roman"/>
          <w:i/>
          <w:color w:val="2E74B5" w:themeColor="accent5" w:themeShade="BF"/>
        </w:rPr>
        <w:t>= μ + α</w:t>
      </w:r>
      <w:proofErr w:type="spellStart"/>
      <w:r w:rsidRPr="00EF24D7">
        <w:rPr>
          <w:i/>
          <w:color w:val="2E74B5" w:themeColor="accent5" w:themeShade="BF"/>
          <w:vertAlign w:val="subscript"/>
        </w:rPr>
        <w:t>i</w:t>
      </w:r>
      <w:proofErr w:type="spellEnd"/>
      <w:r w:rsidRPr="00EF24D7">
        <w:rPr>
          <w:rFonts w:cs="Times New Roman"/>
          <w:i/>
          <w:color w:val="2E74B5" w:themeColor="accent5" w:themeShade="BF"/>
          <w:position w:val="-6"/>
        </w:rPr>
        <w:t xml:space="preserve"> </w:t>
      </w:r>
      <w:r w:rsidRPr="00EF24D7">
        <w:rPr>
          <w:rFonts w:cs="Times New Roman"/>
          <w:i/>
          <w:color w:val="2E74B5" w:themeColor="accent5" w:themeShade="BF"/>
        </w:rPr>
        <w:t xml:space="preserve">+ </w:t>
      </w:r>
      <w:proofErr w:type="spellStart"/>
      <w:r w:rsidRPr="00EF24D7">
        <w:rPr>
          <w:rFonts w:cs="Times New Roman"/>
          <w:i/>
          <w:color w:val="2E74B5" w:themeColor="accent5" w:themeShade="BF"/>
        </w:rPr>
        <w:t>r</w:t>
      </w:r>
      <w:r w:rsidRPr="00EF24D7">
        <w:rPr>
          <w:i/>
          <w:color w:val="2E74B5" w:themeColor="accent5" w:themeShade="BF"/>
          <w:vertAlign w:val="subscript"/>
        </w:rPr>
        <w:t>j</w:t>
      </w:r>
      <w:proofErr w:type="spellEnd"/>
      <w:r w:rsidRPr="00EF24D7">
        <w:rPr>
          <w:rFonts w:cs="Times New Roman"/>
          <w:i/>
          <w:color w:val="2E74B5" w:themeColor="accent5" w:themeShade="BF"/>
          <w:position w:val="-6"/>
          <w:vertAlign w:val="subscript"/>
        </w:rPr>
        <w:t xml:space="preserve"> </w:t>
      </w:r>
      <w:r w:rsidRPr="00EF24D7">
        <w:rPr>
          <w:rFonts w:cs="Times New Roman"/>
          <w:i/>
          <w:color w:val="2E74B5" w:themeColor="accent5" w:themeShade="BF"/>
        </w:rPr>
        <w:t xml:space="preserve">+ </w:t>
      </w:r>
      <w:proofErr w:type="spellStart"/>
      <w:r w:rsidRPr="00EF24D7">
        <w:rPr>
          <w:rFonts w:cs="Times New Roman"/>
          <w:i/>
          <w:color w:val="2E74B5" w:themeColor="accent5" w:themeShade="BF"/>
        </w:rPr>
        <w:t>b</w:t>
      </w:r>
      <w:r w:rsidRPr="00EF24D7">
        <w:rPr>
          <w:i/>
          <w:color w:val="2E74B5" w:themeColor="accent5" w:themeShade="BF"/>
          <w:vertAlign w:val="subscript"/>
        </w:rPr>
        <w:t>kj</w:t>
      </w:r>
      <w:proofErr w:type="spellEnd"/>
      <w:r w:rsidRPr="00EF24D7">
        <w:rPr>
          <w:rFonts w:cs="Times New Roman"/>
          <w:i/>
          <w:color w:val="2E74B5" w:themeColor="accent5" w:themeShade="BF"/>
          <w:position w:val="-6"/>
        </w:rPr>
        <w:t xml:space="preserve"> </w:t>
      </w:r>
      <w:r w:rsidRPr="00EF24D7">
        <w:rPr>
          <w:rFonts w:cs="Times New Roman"/>
          <w:i/>
          <w:color w:val="2E74B5" w:themeColor="accent5" w:themeShade="BF"/>
        </w:rPr>
        <w:t xml:space="preserve">+ </w:t>
      </w:r>
      <w:proofErr w:type="spellStart"/>
      <w:r w:rsidRPr="00EF24D7">
        <w:rPr>
          <w:rFonts w:cs="Times New Roman"/>
          <w:i/>
          <w:color w:val="2E74B5" w:themeColor="accent5" w:themeShade="BF"/>
        </w:rPr>
        <w:t>ε</w:t>
      </w:r>
      <w:r w:rsidRPr="00EF24D7">
        <w:rPr>
          <w:i/>
          <w:color w:val="2E74B5" w:themeColor="accent5" w:themeShade="BF"/>
          <w:vertAlign w:val="subscript"/>
        </w:rPr>
        <w:t>ijk</w:t>
      </w:r>
      <w:proofErr w:type="spellEnd"/>
      <w:r w:rsidRPr="00EF24D7">
        <w:rPr>
          <w:i/>
          <w:color w:val="2E74B5" w:themeColor="accent5" w:themeShade="BF"/>
          <w:vertAlign w:val="subscript"/>
        </w:rPr>
        <w:t xml:space="preserve"> </w:t>
      </w:r>
      <w:r>
        <w:rPr>
          <w:rFonts w:cs="Times New Roman"/>
        </w:rPr>
        <w:t xml:space="preserve">where </w:t>
      </w:r>
      <w:proofErr w:type="spellStart"/>
      <w:r>
        <w:rPr>
          <w:rFonts w:cs="Times New Roman"/>
        </w:rPr>
        <w:t>Y</w:t>
      </w:r>
      <w:r w:rsidRPr="00272935">
        <w:rPr>
          <w:vertAlign w:val="subscript"/>
        </w:rPr>
        <w:t>ijk</w:t>
      </w:r>
      <w:proofErr w:type="spellEnd"/>
      <w:r w:rsidRPr="001A218D">
        <w:rPr>
          <w:rFonts w:cs="Times New Roman"/>
          <w:position w:val="-6"/>
        </w:rPr>
        <w:t xml:space="preserve"> </w:t>
      </w:r>
      <w:r>
        <w:rPr>
          <w:rFonts w:cs="Times New Roman"/>
        </w:rPr>
        <w:t>i</w:t>
      </w:r>
      <w:r w:rsidRPr="001A218D">
        <w:rPr>
          <w:rFonts w:cs="Times New Roman"/>
        </w:rPr>
        <w:t>s the phenotype</w:t>
      </w:r>
      <w:r>
        <w:rPr>
          <w:rFonts w:cs="Times New Roman"/>
        </w:rPr>
        <w:t xml:space="preserve"> of the </w:t>
      </w:r>
      <w:proofErr w:type="spellStart"/>
      <w:r>
        <w:rPr>
          <w:rFonts w:cs="Times New Roman"/>
        </w:rPr>
        <w:t>i</w:t>
      </w:r>
      <w:r w:rsidRPr="006C4560">
        <w:rPr>
          <w:rFonts w:cs="Times New Roman"/>
          <w:vertAlign w:val="superscript"/>
        </w:rPr>
        <w:t>th</w:t>
      </w:r>
      <w:proofErr w:type="spellEnd"/>
      <w:r>
        <w:rPr>
          <w:rFonts w:cs="Times New Roman"/>
        </w:rPr>
        <w:t xml:space="preserve"> genotype in k</w:t>
      </w:r>
      <w:r w:rsidRPr="006C4560">
        <w:rPr>
          <w:rFonts w:cs="Times New Roman"/>
          <w:vertAlign w:val="superscript"/>
        </w:rPr>
        <w:t>th</w:t>
      </w:r>
      <w:r>
        <w:rPr>
          <w:rFonts w:cs="Times New Roman"/>
        </w:rPr>
        <w:t xml:space="preserve"> block of </w:t>
      </w:r>
      <w:proofErr w:type="spellStart"/>
      <w:r>
        <w:rPr>
          <w:rFonts w:cs="Times New Roman"/>
        </w:rPr>
        <w:t>j</w:t>
      </w:r>
      <w:r w:rsidRPr="006C4560">
        <w:rPr>
          <w:rFonts w:cs="Times New Roman"/>
          <w:vertAlign w:val="superscript"/>
        </w:rPr>
        <w:t>th</w:t>
      </w:r>
      <w:proofErr w:type="spellEnd"/>
      <w:r>
        <w:rPr>
          <w:rFonts w:cs="Times New Roman"/>
        </w:rPr>
        <w:t xml:space="preserve"> replicate, μ the overall mean, α</w:t>
      </w:r>
      <w:proofErr w:type="spellStart"/>
      <w:r w:rsidRPr="00272935">
        <w:rPr>
          <w:vertAlign w:val="subscript"/>
        </w:rPr>
        <w:t>i</w:t>
      </w:r>
      <w:proofErr w:type="spellEnd"/>
      <w:r w:rsidRPr="001A218D">
        <w:rPr>
          <w:rFonts w:cs="Times New Roman"/>
          <w:position w:val="-6"/>
        </w:rPr>
        <w:t xml:space="preserve"> </w:t>
      </w:r>
      <w:r>
        <w:rPr>
          <w:rFonts w:cs="Times New Roman"/>
        </w:rPr>
        <w:t>i</w:t>
      </w:r>
      <w:r w:rsidRPr="001A218D">
        <w:rPr>
          <w:rFonts w:cs="Times New Roman"/>
        </w:rPr>
        <w:t>s the genotyp</w:t>
      </w:r>
      <w:r>
        <w:rPr>
          <w:rFonts w:cs="Times New Roman"/>
        </w:rPr>
        <w:t xml:space="preserve">e effect considered as random, </w:t>
      </w:r>
      <w:proofErr w:type="spellStart"/>
      <w:r>
        <w:rPr>
          <w:rFonts w:cs="Times New Roman"/>
        </w:rPr>
        <w:t>r</w:t>
      </w:r>
      <w:r w:rsidRPr="00272935">
        <w:rPr>
          <w:vertAlign w:val="subscript"/>
        </w:rPr>
        <w:t>j</w:t>
      </w:r>
      <w:proofErr w:type="spellEnd"/>
      <w:r w:rsidRPr="001A218D">
        <w:rPr>
          <w:rFonts w:cs="Times New Roman"/>
          <w:position w:val="-6"/>
        </w:rPr>
        <w:t xml:space="preserve"> </w:t>
      </w:r>
      <w:r>
        <w:rPr>
          <w:rFonts w:cs="Times New Roman"/>
        </w:rPr>
        <w:t>i</w:t>
      </w:r>
      <w:r w:rsidRPr="001A218D">
        <w:rPr>
          <w:rFonts w:cs="Times New Roman"/>
        </w:rPr>
        <w:t xml:space="preserve">s the replicate effect considered as fixed, </w:t>
      </w:r>
      <w:proofErr w:type="spellStart"/>
      <w:r w:rsidRPr="001A218D">
        <w:rPr>
          <w:rFonts w:cs="Times New Roman"/>
        </w:rPr>
        <w:t>b</w:t>
      </w:r>
      <w:r>
        <w:rPr>
          <w:vertAlign w:val="subscript"/>
        </w:rPr>
        <w:t>kj</w:t>
      </w:r>
      <w:proofErr w:type="spellEnd"/>
      <w:r w:rsidRPr="00272935">
        <w:rPr>
          <w:vertAlign w:val="subscript"/>
        </w:rPr>
        <w:t xml:space="preserve"> </w:t>
      </w:r>
      <w:r>
        <w:rPr>
          <w:rFonts w:cs="Times New Roman"/>
        </w:rPr>
        <w:t>i</w:t>
      </w:r>
      <w:r w:rsidRPr="001A218D">
        <w:rPr>
          <w:rFonts w:cs="Times New Roman"/>
        </w:rPr>
        <w:t xml:space="preserve">s the random effect </w:t>
      </w:r>
      <w:r>
        <w:rPr>
          <w:rFonts w:cs="Times New Roman"/>
        </w:rPr>
        <w:t>of the k</w:t>
      </w:r>
      <w:r w:rsidRPr="000E4DF9">
        <w:rPr>
          <w:rFonts w:cs="Times New Roman"/>
          <w:vertAlign w:val="superscript"/>
        </w:rPr>
        <w:t>th</w:t>
      </w:r>
      <w:r>
        <w:rPr>
          <w:rFonts w:cs="Times New Roman"/>
        </w:rPr>
        <w:t xml:space="preserve"> block within </w:t>
      </w:r>
      <w:proofErr w:type="spellStart"/>
      <w:r>
        <w:rPr>
          <w:rFonts w:cs="Times New Roman"/>
        </w:rPr>
        <w:t>j</w:t>
      </w:r>
      <w:r w:rsidRPr="000E4DF9">
        <w:rPr>
          <w:rFonts w:cs="Times New Roman"/>
          <w:vertAlign w:val="superscript"/>
        </w:rPr>
        <w:t>th</w:t>
      </w:r>
      <w:proofErr w:type="spellEnd"/>
      <w:r>
        <w:rPr>
          <w:rFonts w:cs="Times New Roman"/>
        </w:rPr>
        <w:t xml:space="preserve"> replicate and </w:t>
      </w:r>
      <w:proofErr w:type="spellStart"/>
      <w:r>
        <w:rPr>
          <w:rFonts w:cs="Times New Roman"/>
        </w:rPr>
        <w:t>ε</w:t>
      </w:r>
      <w:r w:rsidRPr="00272935">
        <w:rPr>
          <w:vertAlign w:val="subscript"/>
        </w:rPr>
        <w:t>ijk</w:t>
      </w:r>
      <w:proofErr w:type="spellEnd"/>
      <w:r w:rsidRPr="001A218D">
        <w:rPr>
          <w:rFonts w:cs="Times New Roman"/>
          <w:position w:val="-6"/>
        </w:rPr>
        <w:t xml:space="preserve"> </w:t>
      </w:r>
      <w:r>
        <w:rPr>
          <w:rFonts w:cs="Times New Roman"/>
        </w:rPr>
        <w:t>i</w:t>
      </w:r>
      <w:r w:rsidRPr="001A218D">
        <w:rPr>
          <w:rFonts w:cs="Times New Roman"/>
        </w:rPr>
        <w:t xml:space="preserve">s the residual </w:t>
      </w:r>
      <w:r>
        <w:rPr>
          <w:rFonts w:cs="Times New Roman"/>
        </w:rPr>
        <w:t xml:space="preserve">considered as a random effect. </w:t>
      </w:r>
    </w:p>
    <w:p w14:paraId="26880C80" w14:textId="77777777" w:rsidR="00F858B6" w:rsidRPr="001F76E6" w:rsidRDefault="00F858B6" w:rsidP="00F858B6">
      <w:pPr>
        <w:widowControl w:val="0"/>
        <w:autoSpaceDE w:val="0"/>
        <w:autoSpaceDN w:val="0"/>
        <w:adjustRightInd w:val="0"/>
        <w:spacing w:after="240" w:line="480" w:lineRule="auto"/>
        <w:rPr>
          <w:rFonts w:cs="Times New Roman"/>
          <w:lang w:val="en-US"/>
        </w:rPr>
      </w:pPr>
      <w:r w:rsidRPr="001F76E6">
        <w:rPr>
          <w:rFonts w:cs="Times New Roman"/>
          <w:lang w:val="en-US"/>
        </w:rPr>
        <w:t xml:space="preserve">The variance components were estimated using the REML method to extract </w:t>
      </w:r>
      <w:proofErr w:type="spellStart"/>
      <w:r w:rsidRPr="001F76E6">
        <w:rPr>
          <w:rFonts w:cs="Times New Roman"/>
          <w:lang w:val="en-US"/>
        </w:rPr>
        <w:t>Y</w:t>
      </w:r>
      <w:r w:rsidRPr="001F76E6">
        <w:rPr>
          <w:rFonts w:cs="Times New Roman"/>
          <w:vertAlign w:val="subscript"/>
          <w:lang w:val="en-US"/>
        </w:rPr>
        <w:t>adj</w:t>
      </w:r>
      <w:proofErr w:type="spellEnd"/>
      <w:r w:rsidRPr="001F76E6">
        <w:rPr>
          <w:rFonts w:cs="Times New Roman"/>
          <w:lang w:val="en-US"/>
        </w:rPr>
        <w:t xml:space="preserve"> (</w:t>
      </w:r>
      <w:r w:rsidRPr="001F76E6">
        <w:rPr>
          <w:rFonts w:cs="Times New Roman"/>
          <w:i/>
        </w:rPr>
        <w:t>μ</w:t>
      </w:r>
      <w:r w:rsidRPr="001F76E6">
        <w:rPr>
          <w:rFonts w:cs="Times New Roman"/>
          <w:lang w:val="en-US"/>
        </w:rPr>
        <w:t xml:space="preserve"> + </w:t>
      </w:r>
      <w:proofErr w:type="spellStart"/>
      <w:r w:rsidRPr="001F76E6">
        <w:rPr>
          <w:rFonts w:cs="Times New Roman"/>
        </w:rPr>
        <w:t>Y</w:t>
      </w:r>
      <w:r w:rsidRPr="001F76E6">
        <w:rPr>
          <w:vertAlign w:val="subscript"/>
        </w:rPr>
        <w:t>ij</w:t>
      </w:r>
      <w:proofErr w:type="spellEnd"/>
      <w:r w:rsidRPr="001F76E6">
        <w:rPr>
          <w:vertAlign w:val="subscript"/>
        </w:rPr>
        <w:t>(k)</w:t>
      </w:r>
      <w:r w:rsidRPr="001F76E6">
        <w:rPr>
          <w:rFonts w:cs="Times New Roman"/>
          <w:lang w:val="en-US"/>
        </w:rPr>
        <w:t xml:space="preserve">) values for each genotype </w:t>
      </w:r>
      <w:r>
        <w:rPr>
          <w:rFonts w:cs="Times New Roman"/>
          <w:lang w:val="en-US"/>
        </w:rPr>
        <w:t>which</w:t>
      </w:r>
      <w:r w:rsidRPr="001F76E6">
        <w:rPr>
          <w:rFonts w:cs="Times New Roman"/>
          <w:lang w:val="en-US"/>
        </w:rPr>
        <w:t xml:space="preserve"> were used in GWAS for analysis at both individual experiment level and </w:t>
      </w:r>
      <w:r w:rsidRPr="001F76E6">
        <w:rPr>
          <w:rFonts w:cs="Times New Roman"/>
          <w:lang w:val="en-US"/>
        </w:rPr>
        <w:lastRenderedPageBreak/>
        <w:t>combined analysis for each environment- lowland non-stress, lowland stress, and upland stress, to detect genomic regions associated with traits of interest. For each of the studied trait, the broad-sense heritability was estimated using the formula</w:t>
      </w:r>
    </w:p>
    <w:p w14:paraId="4C544398" w14:textId="77777777" w:rsidR="00F858B6" w:rsidRPr="001F76E6" w:rsidRDefault="00F858B6" w:rsidP="00F858B6">
      <w:pPr>
        <w:widowControl w:val="0"/>
        <w:autoSpaceDE w:val="0"/>
        <w:autoSpaceDN w:val="0"/>
        <w:adjustRightInd w:val="0"/>
        <w:spacing w:after="240" w:line="480" w:lineRule="auto"/>
        <w:jc w:val="center"/>
        <w:rPr>
          <w:rFonts w:cs="Times New Roman"/>
          <w:lang w:val="en-US"/>
        </w:rPr>
      </w:pPr>
      <w:r w:rsidRPr="001F76E6">
        <w:rPr>
          <w:rFonts w:cs="Times New Roman"/>
          <w:lang w:val="en-US"/>
        </w:rPr>
        <w:t>H²</w:t>
      </w:r>
      <w:r w:rsidRPr="001F76E6">
        <w:rPr>
          <w:rFonts w:cs="Times New Roman"/>
          <w:position w:val="10"/>
          <w:lang w:val="en-US"/>
        </w:rPr>
        <w:t xml:space="preserve"> </w:t>
      </w:r>
      <w:r w:rsidRPr="001F76E6">
        <w:rPr>
          <w:rFonts w:cs="Times New Roman"/>
          <w:lang w:val="en-US"/>
        </w:rPr>
        <w:t xml:space="preserve">= </w:t>
      </w:r>
      <w:r w:rsidRPr="001F76E6">
        <w:rPr>
          <w:rFonts w:eastAsia="Times New Roman" w:cs="Times New Roman"/>
          <w:bCs/>
          <w:shd w:val="clear" w:color="auto" w:fill="FFFFFF"/>
          <w:lang w:val="uz-Cyrl-UZ"/>
        </w:rPr>
        <w:t>σ</w:t>
      </w:r>
      <w:r w:rsidRPr="001F76E6">
        <w:rPr>
          <w:rFonts w:cs="Times New Roman"/>
          <w:vertAlign w:val="superscript"/>
        </w:rPr>
        <w:t>2</w:t>
      </w:r>
      <w:r w:rsidRPr="001F76E6">
        <w:rPr>
          <w:rFonts w:cs="Times New Roman"/>
          <w:vertAlign w:val="subscript"/>
        </w:rPr>
        <w:t>g</w:t>
      </w:r>
      <w:r w:rsidRPr="001F76E6">
        <w:rPr>
          <w:rFonts w:cs="Times New Roman"/>
          <w:lang w:val="en-US"/>
        </w:rPr>
        <w:t xml:space="preserve"> / </w:t>
      </w:r>
      <w:r w:rsidRPr="001F76E6">
        <w:rPr>
          <w:rFonts w:eastAsia="Times New Roman" w:cs="Times New Roman"/>
          <w:bCs/>
          <w:shd w:val="clear" w:color="auto" w:fill="FFFFFF"/>
          <w:lang w:val="uz-Cyrl-UZ"/>
        </w:rPr>
        <w:t>σ</w:t>
      </w:r>
      <w:r w:rsidRPr="001F76E6">
        <w:rPr>
          <w:rFonts w:cs="Times New Roman"/>
          <w:vertAlign w:val="superscript"/>
        </w:rPr>
        <w:t>2</w:t>
      </w:r>
      <w:r w:rsidRPr="001F76E6">
        <w:rPr>
          <w:rFonts w:cs="Times New Roman"/>
          <w:vertAlign w:val="subscript"/>
        </w:rPr>
        <w:t>p</w:t>
      </w:r>
    </w:p>
    <w:p w14:paraId="57B207CB" w14:textId="77777777" w:rsidR="00F858B6" w:rsidRPr="001F76E6" w:rsidRDefault="00F858B6" w:rsidP="00F858B6">
      <w:pPr>
        <w:widowControl w:val="0"/>
        <w:autoSpaceDE w:val="0"/>
        <w:autoSpaceDN w:val="0"/>
        <w:adjustRightInd w:val="0"/>
        <w:spacing w:after="240" w:line="480" w:lineRule="auto"/>
        <w:rPr>
          <w:rFonts w:cs="Times New Roman"/>
          <w:lang w:val="en-US"/>
        </w:rPr>
      </w:pPr>
      <w:r w:rsidRPr="001F76E6">
        <w:rPr>
          <w:rFonts w:cs="Times New Roman"/>
          <w:lang w:val="en-US"/>
        </w:rPr>
        <w:t xml:space="preserve">where </w:t>
      </w:r>
      <w:r w:rsidRPr="001F76E6">
        <w:rPr>
          <w:rFonts w:eastAsia="Times New Roman" w:cs="Times New Roman"/>
          <w:bCs/>
          <w:shd w:val="clear" w:color="auto" w:fill="FFFFFF"/>
          <w:lang w:val="uz-Cyrl-UZ"/>
        </w:rPr>
        <w:t>σ</w:t>
      </w:r>
      <w:r w:rsidRPr="001F76E6">
        <w:rPr>
          <w:rFonts w:eastAsia="Times New Roman" w:cs="Times New Roman"/>
          <w:bCs/>
          <w:shd w:val="clear" w:color="auto" w:fill="FFFFFF"/>
          <w:lang w:val="en-US"/>
        </w:rPr>
        <w:t>²</w:t>
      </w:r>
      <w:r w:rsidRPr="001F76E6">
        <w:rPr>
          <w:rFonts w:eastAsia="Times New Roman" w:cs="Times New Roman"/>
          <w:bCs/>
          <w:shd w:val="clear" w:color="auto" w:fill="FFFFFF"/>
          <w:vertAlign w:val="subscript"/>
          <w:lang w:val="en-US"/>
        </w:rPr>
        <w:t>g</w:t>
      </w:r>
      <w:r w:rsidRPr="001F76E6">
        <w:rPr>
          <w:rFonts w:cs="Times New Roman"/>
          <w:lang w:val="en-US"/>
        </w:rPr>
        <w:t xml:space="preserve"> is the genotypic variance obtained from the experimental data (assuming only additive genetic variance among accessions) and the phenotypic variance is  </w:t>
      </w:r>
      <w:r w:rsidRPr="001F76E6">
        <w:rPr>
          <w:rFonts w:eastAsia="Times New Roman" w:cs="Times New Roman"/>
          <w:bCs/>
          <w:shd w:val="clear" w:color="auto" w:fill="FFFFFF"/>
          <w:lang w:val="uz-Cyrl-UZ"/>
        </w:rPr>
        <w:t>σ</w:t>
      </w:r>
      <w:r w:rsidRPr="001F76E6">
        <w:rPr>
          <w:rFonts w:cs="Times New Roman"/>
          <w:vertAlign w:val="superscript"/>
        </w:rPr>
        <w:t>2</w:t>
      </w:r>
      <w:r w:rsidRPr="001F76E6">
        <w:rPr>
          <w:rFonts w:cs="Times New Roman"/>
          <w:vertAlign w:val="subscript"/>
        </w:rPr>
        <w:t>p</w:t>
      </w:r>
      <w:r w:rsidRPr="001F76E6">
        <w:rPr>
          <w:rFonts w:cs="Times New Roman"/>
          <w:lang w:val="en-US"/>
        </w:rPr>
        <w:t xml:space="preserve">= </w:t>
      </w:r>
      <w:r w:rsidRPr="001F76E6">
        <w:rPr>
          <w:rFonts w:eastAsia="Times New Roman" w:cs="Times New Roman"/>
          <w:bCs/>
          <w:shd w:val="clear" w:color="auto" w:fill="FFFFFF"/>
          <w:lang w:val="uz-Cyrl-UZ"/>
        </w:rPr>
        <w:t>σ</w:t>
      </w:r>
      <w:r w:rsidRPr="001F76E6">
        <w:rPr>
          <w:rFonts w:cs="Times New Roman"/>
          <w:vertAlign w:val="superscript"/>
        </w:rPr>
        <w:t>2</w:t>
      </w:r>
      <w:r w:rsidRPr="001F76E6">
        <w:rPr>
          <w:rFonts w:cs="Times New Roman"/>
          <w:vertAlign w:val="subscript"/>
        </w:rPr>
        <w:t>g</w:t>
      </w:r>
      <w:r w:rsidRPr="001F76E6">
        <w:rPr>
          <w:rFonts w:cs="Times New Roman"/>
          <w:lang w:val="en-US"/>
        </w:rPr>
        <w:t xml:space="preserve"> + </w:t>
      </w:r>
      <w:r w:rsidRPr="001F76E6">
        <w:rPr>
          <w:rFonts w:eastAsia="Times New Roman" w:cs="Times New Roman"/>
          <w:bCs/>
          <w:shd w:val="clear" w:color="auto" w:fill="FFFFFF"/>
          <w:lang w:val="uz-Cyrl-UZ"/>
        </w:rPr>
        <w:t>σ</w:t>
      </w:r>
      <w:r w:rsidRPr="001F76E6">
        <w:rPr>
          <w:rFonts w:cs="Times New Roman"/>
          <w:vertAlign w:val="superscript"/>
        </w:rPr>
        <w:t>2</w:t>
      </w:r>
      <w:r w:rsidRPr="001F76E6">
        <w:rPr>
          <w:rFonts w:cs="Times New Roman"/>
          <w:vertAlign w:val="subscript"/>
        </w:rPr>
        <w:t>e</w:t>
      </w:r>
      <w:r w:rsidRPr="001F76E6">
        <w:rPr>
          <w:rFonts w:cs="Times New Roman"/>
          <w:lang w:val="en-US"/>
        </w:rPr>
        <w:t xml:space="preserve">/r, where </w:t>
      </w:r>
      <w:r w:rsidRPr="001F76E6">
        <w:rPr>
          <w:rFonts w:eastAsia="Times New Roman" w:cs="Times New Roman"/>
          <w:bCs/>
          <w:shd w:val="clear" w:color="auto" w:fill="FFFFFF"/>
          <w:lang w:val="uz-Cyrl-UZ"/>
        </w:rPr>
        <w:t>σ</w:t>
      </w:r>
      <w:r w:rsidRPr="001F76E6">
        <w:rPr>
          <w:rFonts w:cs="Times New Roman"/>
          <w:vertAlign w:val="superscript"/>
        </w:rPr>
        <w:t>2</w:t>
      </w:r>
      <w:r w:rsidRPr="001F76E6">
        <w:rPr>
          <w:rFonts w:cs="Times New Roman"/>
          <w:vertAlign w:val="subscript"/>
        </w:rPr>
        <w:t>e</w:t>
      </w:r>
      <w:r w:rsidRPr="001F76E6">
        <w:rPr>
          <w:rFonts w:cs="Times New Roman"/>
          <w:lang w:val="en-US"/>
        </w:rPr>
        <w:t xml:space="preserve"> is the residual variance obtained from the ANOVA and r is the number of replication. </w:t>
      </w:r>
    </w:p>
    <w:p w14:paraId="63E1CDF6" w14:textId="77777777" w:rsidR="00F858B6" w:rsidRDefault="00F858B6" w:rsidP="00F858B6">
      <w:pPr>
        <w:widowControl w:val="0"/>
        <w:autoSpaceDE w:val="0"/>
        <w:autoSpaceDN w:val="0"/>
        <w:adjustRightInd w:val="0"/>
        <w:spacing w:after="240" w:line="480" w:lineRule="auto"/>
        <w:rPr>
          <w:rFonts w:cs="Times New Roman"/>
          <w:lang w:val="en-US"/>
        </w:rPr>
      </w:pPr>
      <w:r w:rsidRPr="001F76E6">
        <w:rPr>
          <w:rFonts w:cs="Times New Roman"/>
          <w:lang w:val="en-US"/>
        </w:rPr>
        <w:t xml:space="preserve">The </w:t>
      </w:r>
      <w:proofErr w:type="spellStart"/>
      <w:r w:rsidRPr="001F76E6">
        <w:rPr>
          <w:rFonts w:cs="Times New Roman"/>
          <w:lang w:val="en-US"/>
        </w:rPr>
        <w:t>corrplot</w:t>
      </w:r>
      <w:proofErr w:type="spellEnd"/>
      <w:r w:rsidRPr="001F76E6">
        <w:rPr>
          <w:rFonts w:cs="Times New Roman"/>
          <w:lang w:val="en-US"/>
        </w:rPr>
        <w:t xml:space="preserve"> package in R (</w:t>
      </w:r>
      <w:r w:rsidRPr="001F76E6">
        <w:rPr>
          <w:rFonts w:eastAsiaTheme="minorHAnsi" w:cs="Times New Roman"/>
          <w:lang w:val="en-IN"/>
        </w:rPr>
        <w:t>R. v.1.2.5001)</w:t>
      </w:r>
      <w:r w:rsidRPr="001F76E6">
        <w:rPr>
          <w:rFonts w:cs="Times New Roman"/>
          <w:lang w:val="en-US"/>
        </w:rPr>
        <w:t xml:space="preserve"> was used to estimate the correlation among the measured traits.</w:t>
      </w:r>
    </w:p>
    <w:p w14:paraId="68A740B0" w14:textId="77777777" w:rsidR="00F858B6" w:rsidRPr="00C76A63" w:rsidRDefault="00F858B6" w:rsidP="00F858B6">
      <w:pPr>
        <w:widowControl w:val="0"/>
        <w:autoSpaceDE w:val="0"/>
        <w:autoSpaceDN w:val="0"/>
        <w:adjustRightInd w:val="0"/>
        <w:spacing w:after="240" w:line="480" w:lineRule="auto"/>
        <w:rPr>
          <w:rFonts w:cs="Times New Roman"/>
          <w:lang w:val="en-US"/>
        </w:rPr>
      </w:pPr>
      <w:r w:rsidRPr="00C76A63">
        <w:rPr>
          <w:rFonts w:cs="Times New Roman"/>
          <w:lang w:val="en-US"/>
        </w:rPr>
        <w:t xml:space="preserve">The drought susceptibility index (DSI) was calculated for </w:t>
      </w:r>
      <w:r w:rsidRPr="00C76A63">
        <w:rPr>
          <w:rFonts w:cs="Times New Roman"/>
          <w:color w:val="000000" w:themeColor="text1"/>
          <w:shd w:val="clear" w:color="auto" w:fill="FFFFFF"/>
        </w:rPr>
        <w:t>DTF, PH, BMDW, GY, TGW and SPKFT</w:t>
      </w:r>
      <w:r w:rsidRPr="00C76A63">
        <w:rPr>
          <w:rFonts w:cs="Times New Roman"/>
          <w:lang w:val="en-US"/>
        </w:rPr>
        <w:t xml:space="preserve">. Drought intensity (DI) was calculated according to (Lazar et al. </w:t>
      </w:r>
      <w:r w:rsidRPr="00C76A63">
        <w:rPr>
          <w:rFonts w:cs="Times New Roman"/>
          <w:color w:val="2F5496" w:themeColor="accent1" w:themeShade="BF"/>
          <w:lang w:val="en-US"/>
        </w:rPr>
        <w:t>1995</w:t>
      </w:r>
      <w:r w:rsidRPr="00C76A63">
        <w:rPr>
          <w:rFonts w:cs="Times New Roman"/>
          <w:lang w:val="en-US"/>
        </w:rPr>
        <w:t>) as follows</w:t>
      </w:r>
      <w:r>
        <w:rPr>
          <w:rFonts w:cs="Times New Roman"/>
          <w:lang w:val="en-US"/>
        </w:rPr>
        <w:t>-</w:t>
      </w:r>
    </w:p>
    <w:p w14:paraId="73699679" w14:textId="77777777" w:rsidR="00F858B6" w:rsidRPr="00C76A63" w:rsidRDefault="00F858B6" w:rsidP="00F858B6">
      <w:pPr>
        <w:widowControl w:val="0"/>
        <w:autoSpaceDE w:val="0"/>
        <w:autoSpaceDN w:val="0"/>
        <w:adjustRightInd w:val="0"/>
        <w:spacing w:after="240"/>
        <w:jc w:val="center"/>
        <w:rPr>
          <w:rFonts w:cs="Times New Roman"/>
          <w:lang w:val="en-US"/>
        </w:rPr>
      </w:pPr>
      <w:r w:rsidRPr="00C76A63">
        <w:rPr>
          <w:rFonts w:cs="Times New Roman"/>
          <w:lang w:val="en-US"/>
        </w:rPr>
        <w:t>DI = 1 – Y</w:t>
      </w:r>
      <w:r w:rsidRPr="00C76A63">
        <w:rPr>
          <w:rFonts w:cs="Times New Roman"/>
          <w:vertAlign w:val="subscript"/>
          <w:lang w:val="en-US"/>
        </w:rPr>
        <w:t>D</w:t>
      </w:r>
      <w:r w:rsidRPr="00C76A63">
        <w:rPr>
          <w:rFonts w:cs="Times New Roman"/>
          <w:lang w:val="en-US"/>
        </w:rPr>
        <w:t xml:space="preserve"> / Y</w:t>
      </w:r>
      <w:r w:rsidRPr="00C76A63">
        <w:rPr>
          <w:rFonts w:cs="Times New Roman"/>
          <w:vertAlign w:val="subscript"/>
          <w:lang w:val="en-US"/>
        </w:rPr>
        <w:t>N</w:t>
      </w:r>
    </w:p>
    <w:p w14:paraId="34BE876F" w14:textId="77777777" w:rsidR="00F858B6" w:rsidRPr="00C76A63" w:rsidRDefault="00F858B6" w:rsidP="00F858B6">
      <w:pPr>
        <w:widowControl w:val="0"/>
        <w:autoSpaceDE w:val="0"/>
        <w:autoSpaceDN w:val="0"/>
        <w:adjustRightInd w:val="0"/>
        <w:spacing w:after="240" w:line="480" w:lineRule="auto"/>
        <w:rPr>
          <w:rFonts w:cs="Times New Roman"/>
          <w:lang w:val="en-US"/>
        </w:rPr>
      </w:pPr>
      <w:r w:rsidRPr="00C76A63">
        <w:rPr>
          <w:rFonts w:cs="Times New Roman"/>
          <w:lang w:val="en-US"/>
        </w:rPr>
        <w:t>Where Y</w:t>
      </w:r>
      <w:r w:rsidRPr="00C76A63">
        <w:rPr>
          <w:rFonts w:cs="Times New Roman"/>
          <w:vertAlign w:val="subscript"/>
          <w:lang w:val="en-US"/>
        </w:rPr>
        <w:t>D</w:t>
      </w:r>
      <w:r w:rsidRPr="00C76A63">
        <w:rPr>
          <w:rFonts w:cs="Times New Roman"/>
          <w:lang w:val="en-US"/>
        </w:rPr>
        <w:t xml:space="preserve"> is th</w:t>
      </w:r>
      <w:r>
        <w:rPr>
          <w:rFonts w:cs="Times New Roman"/>
          <w:lang w:val="en-US"/>
        </w:rPr>
        <w:t xml:space="preserve">e average all genotypes for a given </w:t>
      </w:r>
      <w:r w:rsidRPr="00C76A63">
        <w:rPr>
          <w:rFonts w:cs="Times New Roman"/>
          <w:lang w:val="en-US"/>
        </w:rPr>
        <w:t>trait under drought stress, while, the Y</w:t>
      </w:r>
      <w:r w:rsidRPr="00C76A63">
        <w:rPr>
          <w:rFonts w:cs="Times New Roman"/>
          <w:vertAlign w:val="subscript"/>
          <w:lang w:val="en-US"/>
        </w:rPr>
        <w:t>N</w:t>
      </w:r>
      <w:r w:rsidRPr="00C76A63">
        <w:rPr>
          <w:rFonts w:cs="Times New Roman"/>
          <w:lang w:val="en-US"/>
        </w:rPr>
        <w:t xml:space="preserve"> is the averag</w:t>
      </w:r>
      <w:r>
        <w:rPr>
          <w:rFonts w:cs="Times New Roman"/>
          <w:lang w:val="en-US"/>
        </w:rPr>
        <w:t>e of all genotypes for the same trait under normal condition</w:t>
      </w:r>
      <w:r w:rsidRPr="00C76A63">
        <w:rPr>
          <w:rFonts w:cs="Times New Roman"/>
          <w:lang w:val="en-US"/>
        </w:rPr>
        <w:t xml:space="preserve">. The drought susceptibility index (DSI) was estimated for each genotype and calculated according to (Lazar et al. </w:t>
      </w:r>
      <w:r w:rsidRPr="00C76A63">
        <w:rPr>
          <w:rFonts w:cs="Times New Roman"/>
          <w:color w:val="2F5496" w:themeColor="accent1" w:themeShade="BF"/>
          <w:lang w:val="en-US"/>
        </w:rPr>
        <w:t>1995</w:t>
      </w:r>
      <w:r w:rsidRPr="00C76A63">
        <w:rPr>
          <w:rFonts w:cs="Times New Roman"/>
          <w:lang w:val="en-US"/>
        </w:rPr>
        <w:t>) as follows</w:t>
      </w:r>
      <w:r>
        <w:rPr>
          <w:rFonts w:cs="Times New Roman"/>
          <w:lang w:val="en-US"/>
        </w:rPr>
        <w:t>-</w:t>
      </w:r>
    </w:p>
    <w:p w14:paraId="0C5E8153" w14:textId="77777777" w:rsidR="00F858B6" w:rsidRDefault="00F858B6" w:rsidP="00F858B6">
      <w:pPr>
        <w:widowControl w:val="0"/>
        <w:autoSpaceDE w:val="0"/>
        <w:autoSpaceDN w:val="0"/>
        <w:adjustRightInd w:val="0"/>
        <w:spacing w:after="240" w:line="480" w:lineRule="auto"/>
        <w:rPr>
          <w:rFonts w:cs="Times New Roman"/>
          <w:lang w:val="en-US"/>
        </w:rPr>
      </w:pPr>
      <w:r>
        <w:rPr>
          <w:rFonts w:cs="Times New Roman"/>
          <w:lang w:val="en-US"/>
        </w:rPr>
        <w:t xml:space="preserve">                                               </w:t>
      </w:r>
      <w:r w:rsidRPr="00C74991">
        <w:rPr>
          <w:rFonts w:cs="Times New Roman"/>
          <w:noProof/>
          <w:lang w:val="en-IN" w:eastAsia="en-IN" w:bidi="hi-IN"/>
        </w:rPr>
        <w:drawing>
          <wp:inline distT="0" distB="0" distL="0" distR="0" wp14:anchorId="05CB418E" wp14:editId="619E876D">
            <wp:extent cx="1318260" cy="701040"/>
            <wp:effectExtent l="0" t="0" r="0" b="0"/>
            <wp:docPr id="3" name="Picture 3" descr="F:\Mac_Backup\Desktop\PhD.Papers\GWAS_Draft\Final Submission\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c_Backup\Desktop\PhD.Papers\GWAS_Draft\Final Submission\Picture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8260" cy="701040"/>
                    </a:xfrm>
                    <a:prstGeom prst="rect">
                      <a:avLst/>
                    </a:prstGeom>
                    <a:noFill/>
                    <a:ln>
                      <a:noFill/>
                    </a:ln>
                  </pic:spPr>
                </pic:pic>
              </a:graphicData>
            </a:graphic>
          </wp:inline>
        </w:drawing>
      </w:r>
    </w:p>
    <w:p w14:paraId="2093F205" w14:textId="77777777" w:rsidR="00F858B6" w:rsidRPr="002706F2" w:rsidRDefault="00F858B6" w:rsidP="00F858B6">
      <w:pPr>
        <w:widowControl w:val="0"/>
        <w:autoSpaceDE w:val="0"/>
        <w:autoSpaceDN w:val="0"/>
        <w:adjustRightInd w:val="0"/>
        <w:spacing w:after="240" w:line="480" w:lineRule="auto"/>
        <w:rPr>
          <w:rFonts w:cs="Times New Roman"/>
          <w:lang w:val="en-US"/>
        </w:rPr>
      </w:pPr>
      <w:r w:rsidRPr="00C76A63">
        <w:rPr>
          <w:rFonts w:cs="Times New Roman"/>
          <w:lang w:val="en-US"/>
        </w:rPr>
        <w:t>Where X</w:t>
      </w:r>
      <w:r w:rsidRPr="00C76A63">
        <w:rPr>
          <w:rFonts w:cs="Times New Roman"/>
          <w:vertAlign w:val="subscript"/>
          <w:lang w:val="en-US"/>
        </w:rPr>
        <w:t>D</w:t>
      </w:r>
      <w:r w:rsidRPr="00C76A63">
        <w:rPr>
          <w:rFonts w:cs="Times New Roman"/>
          <w:lang w:val="en-US"/>
        </w:rPr>
        <w:t xml:space="preserve"> is the mean performance of each genotype for a given trait under drought stress, while, the X</w:t>
      </w:r>
      <w:r w:rsidRPr="00C76A63">
        <w:rPr>
          <w:rFonts w:cs="Times New Roman"/>
          <w:vertAlign w:val="subscript"/>
          <w:lang w:val="en-US"/>
        </w:rPr>
        <w:t>N</w:t>
      </w:r>
      <w:r w:rsidRPr="00C76A63">
        <w:rPr>
          <w:rFonts w:cs="Times New Roman"/>
          <w:lang w:val="en-US"/>
        </w:rPr>
        <w:t xml:space="preserve"> is the mean performance of each genotype for the same trait under normal condition.</w:t>
      </w:r>
    </w:p>
    <w:p w14:paraId="66B86B60" w14:textId="77777777" w:rsidR="00F858B6" w:rsidRPr="001F76E6" w:rsidRDefault="00F858B6" w:rsidP="00F858B6">
      <w:pPr>
        <w:widowControl w:val="0"/>
        <w:autoSpaceDE w:val="0"/>
        <w:autoSpaceDN w:val="0"/>
        <w:adjustRightInd w:val="0"/>
        <w:spacing w:after="240" w:line="480" w:lineRule="auto"/>
        <w:rPr>
          <w:rFonts w:cs="Times New Roman"/>
          <w:lang w:val="en-US"/>
        </w:rPr>
      </w:pPr>
    </w:p>
    <w:p w14:paraId="4BFC3F9B" w14:textId="77777777" w:rsidR="00F858B6" w:rsidRPr="00A47877" w:rsidRDefault="00F858B6" w:rsidP="00F858B6">
      <w:pPr>
        <w:pStyle w:val="Heading2"/>
        <w:spacing w:line="480" w:lineRule="auto"/>
        <w:rPr>
          <w:lang w:val="en-US"/>
        </w:rPr>
      </w:pPr>
      <w:r w:rsidRPr="00A47877">
        <w:rPr>
          <w:lang w:val="en-US"/>
        </w:rPr>
        <w:t xml:space="preserve">Methods for characterizing the population </w:t>
      </w:r>
    </w:p>
    <w:p w14:paraId="2720EF35" w14:textId="77777777" w:rsidR="00F858B6" w:rsidRPr="00963D6C" w:rsidRDefault="00F858B6" w:rsidP="00F858B6">
      <w:pPr>
        <w:pStyle w:val="Heading3"/>
        <w:spacing w:line="480" w:lineRule="auto"/>
      </w:pPr>
      <w:r w:rsidRPr="00963D6C">
        <w:t>Experimental evaluation</w:t>
      </w:r>
    </w:p>
    <w:p w14:paraId="35858C30" w14:textId="77777777" w:rsidR="00F858B6" w:rsidRDefault="00F858B6" w:rsidP="00F858B6">
      <w:pPr>
        <w:widowControl w:val="0"/>
        <w:autoSpaceDE w:val="0"/>
        <w:autoSpaceDN w:val="0"/>
        <w:adjustRightInd w:val="0"/>
        <w:spacing w:line="480" w:lineRule="auto"/>
        <w:rPr>
          <w:rFonts w:cs="Times New Roman"/>
          <w:lang w:val="fr-FR"/>
        </w:rPr>
      </w:pPr>
      <w:r w:rsidRPr="00FB1EE9">
        <w:rPr>
          <w:rFonts w:cs="Times New Roman"/>
        </w:rPr>
        <w:t xml:space="preserve">Multi-dimensional analysis of the phenotypic data by FDA was </w:t>
      </w:r>
      <w:r w:rsidRPr="00FB1EE9">
        <w:rPr>
          <w:rFonts w:cs="Times New Roman"/>
          <w:lang w:val="en-US"/>
        </w:rPr>
        <w:t>performed on phenotypic data (</w:t>
      </w:r>
      <w:r>
        <w:rPr>
          <w:rFonts w:cs="Times New Roman"/>
          <w:lang w:val="en-US"/>
        </w:rPr>
        <w:t>28</w:t>
      </w:r>
      <w:r w:rsidRPr="00FB1EE9">
        <w:rPr>
          <w:rFonts w:cs="Times New Roman"/>
          <w:lang w:val="en-US"/>
        </w:rPr>
        <w:t>0 accessions x 10 trait variables x 6 experiments) to estimate the pairwise Fisher distance between the experiments using the XLSTAT package</w:t>
      </w:r>
      <w:r>
        <w:rPr>
          <w:rFonts w:cs="Times New Roman"/>
        </w:rPr>
        <w:t xml:space="preserve"> [Internet]</w:t>
      </w:r>
      <w:r w:rsidRPr="00FB1EE9">
        <w:rPr>
          <w:rFonts w:cs="Times New Roman"/>
        </w:rPr>
        <w:t xml:space="preserve"> 2012. </w:t>
      </w:r>
      <w:r>
        <w:rPr>
          <w:rFonts w:cs="Times New Roman"/>
        </w:rPr>
        <w:t>(</w:t>
      </w:r>
      <w:hyperlink r:id="rId5" w:history="1">
        <w:r w:rsidRPr="00FB1EE9">
          <w:rPr>
            <w:rStyle w:val="Hyperlink"/>
            <w:rFonts w:cs="Times New Roman"/>
            <w:lang w:val="fr-FR"/>
          </w:rPr>
          <w:t>http://www.xlstat.com/en/products-solutions/pro.html</w:t>
        </w:r>
      </w:hyperlink>
      <w:r w:rsidRPr="00FB1EE9">
        <w:rPr>
          <w:rFonts w:cs="Times New Roman"/>
          <w:lang w:val="fr-FR"/>
        </w:rPr>
        <w:t>).</w:t>
      </w:r>
      <w:r>
        <w:rPr>
          <w:rFonts w:cs="Times New Roman"/>
          <w:lang w:val="fr-FR"/>
        </w:rPr>
        <w:t xml:space="preserve"> </w:t>
      </w:r>
      <w:r w:rsidRPr="00A47877">
        <w:rPr>
          <w:rFonts w:eastAsiaTheme="minorHAnsi" w:cs="Times New Roman"/>
          <w:color w:val="131413"/>
          <w:lang w:val="en-IN"/>
        </w:rPr>
        <w:t>Using mean grain yield as criterion, each experiment was re-classified based on the grain yield reduction compared to the control-lowland-non-stress experiment (</w:t>
      </w:r>
      <w:r w:rsidRPr="005F340E">
        <w:rPr>
          <w:rFonts w:eastAsiaTheme="minorHAnsi" w:cs="Times New Roman"/>
          <w:lang w:val="en-IN"/>
        </w:rPr>
        <w:t xml:space="preserve">Kumar et al. </w:t>
      </w:r>
      <w:r w:rsidRPr="00250BCC">
        <w:rPr>
          <w:rFonts w:eastAsiaTheme="minorHAnsi" w:cs="Times New Roman"/>
          <w:color w:val="2F5496" w:themeColor="accent1" w:themeShade="BF"/>
          <w:lang w:val="en-IN"/>
        </w:rPr>
        <w:t>2009</w:t>
      </w:r>
      <w:r w:rsidRPr="00037AEE">
        <w:rPr>
          <w:rFonts w:eastAsiaTheme="minorHAnsi" w:cs="Times New Roman"/>
          <w:color w:val="131413"/>
          <w:lang w:val="en-IN"/>
        </w:rPr>
        <w:t>)</w:t>
      </w:r>
      <w:r w:rsidRPr="00A47877">
        <w:rPr>
          <w:rFonts w:eastAsiaTheme="minorHAnsi" w:cs="Times New Roman"/>
          <w:color w:val="131413"/>
          <w:lang w:val="en-IN"/>
        </w:rPr>
        <w:t xml:space="preserve"> (</w:t>
      </w:r>
      <w:r w:rsidRPr="00E80D7B">
        <w:rPr>
          <w:rFonts w:cs="Times New Roman"/>
        </w:rPr>
        <w:t xml:space="preserve">Additional file </w:t>
      </w:r>
      <w:r>
        <w:rPr>
          <w:rFonts w:cs="Times New Roman"/>
          <w:color w:val="2F5496" w:themeColor="accent1" w:themeShade="BF"/>
        </w:rPr>
        <w:t>1</w:t>
      </w:r>
      <w:r w:rsidRPr="00E80D7B">
        <w:rPr>
          <w:rFonts w:cs="Times New Roman"/>
        </w:rPr>
        <w:t xml:space="preserve">: </w:t>
      </w:r>
      <w:r w:rsidRPr="00E80D7B">
        <w:rPr>
          <w:rFonts w:eastAsiaTheme="minorHAnsi" w:cs="Times New Roman"/>
          <w:lang w:val="en-IN"/>
        </w:rPr>
        <w:t>Table S1</w:t>
      </w:r>
      <w:r w:rsidRPr="00A47877">
        <w:rPr>
          <w:rFonts w:eastAsiaTheme="minorHAnsi" w:cs="Times New Roman"/>
          <w:color w:val="131413"/>
          <w:lang w:val="en-IN"/>
        </w:rPr>
        <w:t>).</w:t>
      </w:r>
    </w:p>
    <w:p w14:paraId="5F5FCF4C" w14:textId="77777777" w:rsidR="00F858B6" w:rsidRPr="003B0A2E" w:rsidRDefault="00F858B6" w:rsidP="00F858B6">
      <w:pPr>
        <w:widowControl w:val="0"/>
        <w:autoSpaceDE w:val="0"/>
        <w:autoSpaceDN w:val="0"/>
        <w:adjustRightInd w:val="0"/>
        <w:spacing w:line="480" w:lineRule="auto"/>
        <w:rPr>
          <w:rFonts w:cs="Times New Roman"/>
          <w:i/>
          <w:iCs/>
          <w:lang w:val="en-US"/>
        </w:rPr>
      </w:pPr>
    </w:p>
    <w:p w14:paraId="79A089D9" w14:textId="77777777" w:rsidR="00F858B6" w:rsidRPr="00963D6C" w:rsidRDefault="00F858B6" w:rsidP="00F858B6">
      <w:pPr>
        <w:pStyle w:val="Heading3"/>
        <w:spacing w:line="480" w:lineRule="auto"/>
      </w:pPr>
      <w:r w:rsidRPr="00963D6C">
        <w:t xml:space="preserve">Genetic </w:t>
      </w:r>
      <w:r>
        <w:t>s</w:t>
      </w:r>
      <w:r w:rsidRPr="00963D6C">
        <w:t>tructure</w:t>
      </w:r>
    </w:p>
    <w:p w14:paraId="1ED5319C" w14:textId="77777777" w:rsidR="00F858B6" w:rsidRDefault="00F858B6" w:rsidP="00F858B6">
      <w:pPr>
        <w:widowControl w:val="0"/>
        <w:autoSpaceDE w:val="0"/>
        <w:autoSpaceDN w:val="0"/>
        <w:adjustRightInd w:val="0"/>
        <w:spacing w:after="240" w:line="480" w:lineRule="auto"/>
        <w:rPr>
          <w:rFonts w:cs="Times New Roman"/>
          <w:lang w:val="en-US"/>
        </w:rPr>
      </w:pPr>
      <w:r w:rsidRPr="00FB1EE9">
        <w:rPr>
          <w:rFonts w:cs="Times New Roman"/>
          <w:lang w:val="en-US"/>
        </w:rPr>
        <w:t xml:space="preserve">The genetic diversity among the </w:t>
      </w:r>
      <w:r>
        <w:rPr>
          <w:rFonts w:cs="Times New Roman"/>
          <w:lang w:val="en-US"/>
        </w:rPr>
        <w:t>28</w:t>
      </w:r>
      <w:r w:rsidRPr="00FB1EE9">
        <w:rPr>
          <w:rFonts w:cs="Times New Roman"/>
          <w:lang w:val="en-US"/>
        </w:rPr>
        <w:t xml:space="preserve">0 accessions </w:t>
      </w:r>
      <w:r w:rsidRPr="00FB490F">
        <w:rPr>
          <w:rFonts w:cs="Times New Roman"/>
          <w:lang w:val="en-US"/>
        </w:rPr>
        <w:t>was studied with the working set of 215k markers using the Neighbor-joining (NJ) clustering method in TASSEL 5</w:t>
      </w:r>
      <w:r w:rsidRPr="00FB490F">
        <w:rPr>
          <w:rFonts w:cs="Times New Roman"/>
          <w:color w:val="0070C0"/>
          <w:lang w:val="en-US"/>
        </w:rPr>
        <w:t xml:space="preserve"> </w:t>
      </w:r>
      <w:r w:rsidRPr="00FB490F">
        <w:rPr>
          <w:rFonts w:cs="Times New Roman"/>
          <w:lang w:val="en-US"/>
        </w:rPr>
        <w:t>(</w:t>
      </w:r>
      <w:r w:rsidRPr="008A2AC0">
        <w:rPr>
          <w:rFonts w:cs="Times New Roman"/>
          <w:lang w:val="en-US"/>
        </w:rPr>
        <w:t>Bradbury et al</w:t>
      </w:r>
      <w:r>
        <w:rPr>
          <w:rFonts w:cs="Times New Roman"/>
          <w:lang w:val="en-US"/>
        </w:rPr>
        <w:t>.</w:t>
      </w:r>
      <w:r w:rsidRPr="008A2AC0">
        <w:rPr>
          <w:rFonts w:cs="Times New Roman"/>
          <w:color w:val="0070C0"/>
          <w:lang w:val="en-US"/>
        </w:rPr>
        <w:t xml:space="preserve"> </w:t>
      </w:r>
      <w:r w:rsidRPr="000A1845">
        <w:rPr>
          <w:rFonts w:cs="Times New Roman"/>
          <w:color w:val="2F5496" w:themeColor="accent1" w:themeShade="BF"/>
          <w:lang w:val="en-US"/>
        </w:rPr>
        <w:t>2007</w:t>
      </w:r>
      <w:r w:rsidRPr="00FB490F">
        <w:rPr>
          <w:rFonts w:cs="Times New Roman"/>
          <w:lang w:val="en-US"/>
        </w:rPr>
        <w:t xml:space="preserve">) and visualization using </w:t>
      </w:r>
      <w:proofErr w:type="spellStart"/>
      <w:r w:rsidRPr="00FB490F">
        <w:rPr>
          <w:rFonts w:cs="Times New Roman"/>
          <w:lang w:val="en-US"/>
        </w:rPr>
        <w:t>FigTree</w:t>
      </w:r>
      <w:proofErr w:type="spellEnd"/>
      <w:r w:rsidRPr="00FB490F">
        <w:rPr>
          <w:rFonts w:cs="Times New Roman"/>
          <w:lang w:val="en-US"/>
        </w:rPr>
        <w:t xml:space="preserve"> v1.4.3 (</w:t>
      </w:r>
      <w:proofErr w:type="spellStart"/>
      <w:r>
        <w:rPr>
          <w:rFonts w:cs="Times New Roman"/>
          <w:lang w:val="en-US"/>
        </w:rPr>
        <w:t>Rambaut</w:t>
      </w:r>
      <w:proofErr w:type="spellEnd"/>
      <w:r>
        <w:rPr>
          <w:rFonts w:cs="Times New Roman"/>
          <w:lang w:val="en-US"/>
        </w:rPr>
        <w:t xml:space="preserve"> and Drummond</w:t>
      </w:r>
      <w:r w:rsidRPr="008A2AC0">
        <w:rPr>
          <w:rFonts w:cs="Times New Roman"/>
          <w:lang w:val="en-US"/>
        </w:rPr>
        <w:t xml:space="preserve"> </w:t>
      </w:r>
      <w:r w:rsidRPr="000A1845">
        <w:rPr>
          <w:rFonts w:cs="Times New Roman"/>
          <w:color w:val="2F5496" w:themeColor="accent1" w:themeShade="BF"/>
          <w:lang w:val="en-US"/>
        </w:rPr>
        <w:t>2016</w:t>
      </w:r>
      <w:r w:rsidRPr="00FB490F">
        <w:rPr>
          <w:rFonts w:cs="Times New Roman"/>
          <w:lang w:val="en-US"/>
        </w:rPr>
        <w:t>). The population structure was assessed using ADMIXTURE v.1.3.0 (</w:t>
      </w:r>
      <w:r w:rsidRPr="008A2AC0">
        <w:rPr>
          <w:rFonts w:cs="Times New Roman"/>
          <w:lang w:val="en-US"/>
        </w:rPr>
        <w:t xml:space="preserve">Alexander et al. </w:t>
      </w:r>
      <w:r w:rsidRPr="000A1845">
        <w:rPr>
          <w:rFonts w:cs="Times New Roman"/>
          <w:color w:val="2F5496" w:themeColor="accent1" w:themeShade="BF"/>
          <w:lang w:val="en-US"/>
        </w:rPr>
        <w:t>2009</w:t>
      </w:r>
      <w:r w:rsidRPr="00FB490F">
        <w:rPr>
          <w:rFonts w:cs="Times New Roman"/>
          <w:lang w:val="en-US"/>
        </w:rPr>
        <w:t>) and results visualized using R/</w:t>
      </w:r>
      <w:proofErr w:type="spellStart"/>
      <w:r w:rsidRPr="00FB490F">
        <w:rPr>
          <w:rFonts w:cs="Times New Roman"/>
          <w:lang w:val="en-US"/>
        </w:rPr>
        <w:t>pophelper</w:t>
      </w:r>
      <w:proofErr w:type="spellEnd"/>
      <w:r w:rsidRPr="00FB490F">
        <w:rPr>
          <w:rFonts w:cs="Times New Roman"/>
          <w:lang w:val="en-US"/>
        </w:rPr>
        <w:t xml:space="preserve"> (</w:t>
      </w:r>
      <w:r w:rsidRPr="008A2AC0">
        <w:rPr>
          <w:rFonts w:cs="Times New Roman"/>
          <w:lang w:val="en-US"/>
        </w:rPr>
        <w:t>Francis</w:t>
      </w:r>
      <w:r w:rsidRPr="00FB490F">
        <w:rPr>
          <w:rFonts w:cs="Times New Roman"/>
          <w:color w:val="0070C0"/>
          <w:lang w:val="en-US"/>
        </w:rPr>
        <w:t xml:space="preserve"> </w:t>
      </w:r>
      <w:r w:rsidRPr="000A1845">
        <w:rPr>
          <w:rFonts w:cs="Times New Roman"/>
          <w:color w:val="2F5496" w:themeColor="accent1" w:themeShade="BF"/>
          <w:lang w:val="en-US"/>
        </w:rPr>
        <w:t>2017</w:t>
      </w:r>
      <w:r w:rsidRPr="00FB490F">
        <w:rPr>
          <w:rFonts w:cs="Times New Roman"/>
          <w:lang w:val="en-US"/>
        </w:rPr>
        <w:t>) package for 280 accessions and 215k</w:t>
      </w:r>
      <w:r>
        <w:rPr>
          <w:rFonts w:cs="Times New Roman"/>
          <w:lang w:val="en-US"/>
        </w:rPr>
        <w:t xml:space="preserve"> SNPs</w:t>
      </w:r>
      <w:r w:rsidRPr="004F27D9">
        <w:rPr>
          <w:rFonts w:cs="Times New Roman"/>
          <w:lang w:val="en-US"/>
        </w:rPr>
        <w:t>.</w:t>
      </w:r>
      <w:r>
        <w:rPr>
          <w:rFonts w:cs="Times New Roman"/>
          <w:lang w:val="en-US"/>
        </w:rPr>
        <w:t xml:space="preserve"> Series of models for K value ranging from 2-8 were</w:t>
      </w:r>
      <w:r w:rsidRPr="004F27D9">
        <w:rPr>
          <w:rFonts w:cs="Times New Roman"/>
          <w:lang w:val="en-US"/>
        </w:rPr>
        <w:t xml:space="preserve"> run with </w:t>
      </w:r>
      <w:proofErr w:type="gramStart"/>
      <w:r>
        <w:rPr>
          <w:rFonts w:cs="Times New Roman"/>
          <w:lang w:val="en-US"/>
        </w:rPr>
        <w:t>5 fold</w:t>
      </w:r>
      <w:proofErr w:type="gramEnd"/>
      <w:r>
        <w:rPr>
          <w:rFonts w:cs="Times New Roman"/>
          <w:lang w:val="en-US"/>
        </w:rPr>
        <w:t xml:space="preserve"> cross-validation to </w:t>
      </w:r>
      <w:r w:rsidRPr="00FB490F">
        <w:rPr>
          <w:rFonts w:cs="Times New Roman"/>
          <w:lang w:val="en-US"/>
        </w:rPr>
        <w:t xml:space="preserve">prime the main algorithm- </w:t>
      </w:r>
      <w:proofErr w:type="spellStart"/>
      <w:r w:rsidRPr="00FB490F">
        <w:rPr>
          <w:rFonts w:cs="Times New Roman"/>
          <w:lang w:val="en-US"/>
        </w:rPr>
        <w:t>QuasiNewton</w:t>
      </w:r>
      <w:proofErr w:type="spellEnd"/>
      <w:r w:rsidRPr="00FB490F">
        <w:rPr>
          <w:rFonts w:cs="Times New Roman"/>
          <w:lang w:val="en-US"/>
        </w:rPr>
        <w:t xml:space="preserve"> for convergence acceleration. Accuracy and precision were ensured by performing 20 runs for each value of K and the optimal number of clusters was determined by the K value with the least cross-validation (CV) error. Principal components (PC) explaining genetic variation w</w:t>
      </w:r>
      <w:r>
        <w:rPr>
          <w:rFonts w:cs="Times New Roman"/>
          <w:lang w:val="en-US"/>
        </w:rPr>
        <w:t>ere</w:t>
      </w:r>
      <w:r w:rsidRPr="00FB490F">
        <w:rPr>
          <w:rFonts w:cs="Times New Roman"/>
          <w:lang w:val="en-US"/>
        </w:rPr>
        <w:t xml:space="preserve"> estimated using R/GAPIT 3.0 package (</w:t>
      </w:r>
      <w:proofErr w:type="spellStart"/>
      <w:r w:rsidRPr="008A2AC0">
        <w:rPr>
          <w:rFonts w:cs="Times New Roman"/>
          <w:lang w:val="en-US"/>
        </w:rPr>
        <w:t>Lipka</w:t>
      </w:r>
      <w:proofErr w:type="spellEnd"/>
      <w:r w:rsidRPr="008A2AC0">
        <w:rPr>
          <w:rFonts w:cs="Times New Roman"/>
          <w:lang w:val="en-US"/>
        </w:rPr>
        <w:t xml:space="preserve"> et al</w:t>
      </w:r>
      <w:r>
        <w:rPr>
          <w:rFonts w:cs="Times New Roman"/>
          <w:lang w:val="en-US"/>
        </w:rPr>
        <w:t>.</w:t>
      </w:r>
      <w:r w:rsidRPr="008A2AC0">
        <w:rPr>
          <w:rFonts w:cs="Times New Roman"/>
          <w:color w:val="2F5496" w:themeColor="accent1" w:themeShade="BF"/>
          <w:lang w:val="en-US"/>
        </w:rPr>
        <w:t xml:space="preserve"> </w:t>
      </w:r>
      <w:r w:rsidRPr="000A1845">
        <w:rPr>
          <w:rFonts w:cs="Times New Roman"/>
          <w:color w:val="2F5496" w:themeColor="accent1" w:themeShade="BF"/>
          <w:lang w:val="en-US"/>
        </w:rPr>
        <w:t>2012</w:t>
      </w:r>
      <w:r w:rsidRPr="00FB490F">
        <w:rPr>
          <w:rFonts w:cs="Times New Roman"/>
          <w:lang w:val="en-US"/>
        </w:rPr>
        <w:t>). The estimated population structure covariates (Q) and kinship matrix (K) were used to improve the statistical</w:t>
      </w:r>
      <w:r>
        <w:rPr>
          <w:rFonts w:cs="Times New Roman"/>
          <w:lang w:val="en-US"/>
        </w:rPr>
        <w:t xml:space="preserve"> power of the GWAS </w:t>
      </w:r>
      <w:r>
        <w:rPr>
          <w:rFonts w:cs="Times New Roman"/>
          <w:lang w:val="en-US"/>
        </w:rPr>
        <w:lastRenderedPageBreak/>
        <w:t>models used.</w:t>
      </w:r>
    </w:p>
    <w:p w14:paraId="73DCF72C" w14:textId="77777777" w:rsidR="00F858B6" w:rsidRDefault="00F858B6" w:rsidP="00F858B6">
      <w:pPr>
        <w:pStyle w:val="Heading3"/>
        <w:spacing w:line="480" w:lineRule="auto"/>
      </w:pPr>
      <w:r w:rsidRPr="00963D6C">
        <w:t>Pairwise linkage disequilibrium (LD)</w:t>
      </w:r>
    </w:p>
    <w:p w14:paraId="7F035A74" w14:textId="77777777" w:rsidR="00F858B6" w:rsidRDefault="00F858B6" w:rsidP="00F858B6">
      <w:pPr>
        <w:autoSpaceDE w:val="0"/>
        <w:autoSpaceDN w:val="0"/>
        <w:adjustRightInd w:val="0"/>
        <w:spacing w:line="480" w:lineRule="auto"/>
        <w:ind w:right="-138"/>
        <w:rPr>
          <w:rFonts w:cs="Times New Roman"/>
        </w:rPr>
      </w:pPr>
      <w:r w:rsidRPr="00691215">
        <w:rPr>
          <w:rFonts w:cs="Times New Roman"/>
          <w:lang w:val="en-US"/>
        </w:rPr>
        <w:t>LD between SNP loci at the individual chromosomal level was calculated and plotted by computing r²</w:t>
      </w:r>
      <w:r w:rsidRPr="00691215">
        <w:rPr>
          <w:rFonts w:cs="Times New Roman"/>
          <w:position w:val="10"/>
          <w:lang w:val="en-US"/>
        </w:rPr>
        <w:t xml:space="preserve"> </w:t>
      </w:r>
      <w:r w:rsidRPr="00691215">
        <w:rPr>
          <w:rFonts w:cs="Times New Roman"/>
          <w:lang w:val="en-US"/>
        </w:rPr>
        <w:t xml:space="preserve">estimators between all pairs of SNP markers using the </w:t>
      </w:r>
      <w:proofErr w:type="spellStart"/>
      <w:r w:rsidRPr="00691215">
        <w:rPr>
          <w:rFonts w:cs="Times New Roman"/>
        </w:rPr>
        <w:t>PopLDdecay</w:t>
      </w:r>
      <w:proofErr w:type="spellEnd"/>
      <w:r w:rsidRPr="00691215">
        <w:rPr>
          <w:rFonts w:cs="Times New Roman"/>
        </w:rPr>
        <w:t xml:space="preserve"> (</w:t>
      </w:r>
      <w:r w:rsidRPr="008A2AC0">
        <w:rPr>
          <w:rFonts w:cs="Times New Roman"/>
        </w:rPr>
        <w:t>Zhang et al</w:t>
      </w:r>
      <w:r>
        <w:rPr>
          <w:rFonts w:cs="Times New Roman"/>
        </w:rPr>
        <w:t>.</w:t>
      </w:r>
      <w:r w:rsidRPr="008A2AC0">
        <w:rPr>
          <w:rFonts w:cs="Times New Roman"/>
          <w:color w:val="2F5496" w:themeColor="accent1" w:themeShade="BF"/>
        </w:rPr>
        <w:t xml:space="preserve"> </w:t>
      </w:r>
      <w:r w:rsidRPr="00691215">
        <w:rPr>
          <w:rFonts w:cs="Times New Roman"/>
          <w:color w:val="2F5496" w:themeColor="accent1" w:themeShade="BF"/>
        </w:rPr>
        <w:t>201</w:t>
      </w:r>
      <w:r>
        <w:rPr>
          <w:rFonts w:cs="Times New Roman"/>
          <w:color w:val="2F5496" w:themeColor="accent1" w:themeShade="BF"/>
        </w:rPr>
        <w:t>9</w:t>
      </w:r>
      <w:r w:rsidRPr="00691215">
        <w:rPr>
          <w:rFonts w:cs="Times New Roman"/>
        </w:rPr>
        <w:t>).</w:t>
      </w:r>
    </w:p>
    <w:p w14:paraId="3EB1FD91" w14:textId="77777777" w:rsidR="00F858B6" w:rsidRPr="00FB1EE9" w:rsidRDefault="00F858B6" w:rsidP="00F858B6">
      <w:pPr>
        <w:autoSpaceDE w:val="0"/>
        <w:autoSpaceDN w:val="0"/>
        <w:adjustRightInd w:val="0"/>
        <w:spacing w:line="480" w:lineRule="auto"/>
        <w:ind w:right="-138"/>
        <w:rPr>
          <w:rFonts w:cs="Times New Roman"/>
        </w:rPr>
      </w:pPr>
    </w:p>
    <w:p w14:paraId="4D596D08" w14:textId="77777777" w:rsidR="00F858B6" w:rsidRPr="00A47877" w:rsidRDefault="00F858B6" w:rsidP="00F858B6">
      <w:pPr>
        <w:pStyle w:val="Heading2"/>
        <w:spacing w:line="480" w:lineRule="auto"/>
        <w:rPr>
          <w:lang w:val="en-US"/>
        </w:rPr>
      </w:pPr>
      <w:r w:rsidRPr="00A47877">
        <w:rPr>
          <w:lang w:val="en-US"/>
        </w:rPr>
        <w:t xml:space="preserve">Methods for </w:t>
      </w:r>
      <w:r>
        <w:rPr>
          <w:lang w:val="en-US"/>
        </w:rPr>
        <w:t>identifying associations at the population level</w:t>
      </w:r>
    </w:p>
    <w:p w14:paraId="7AB89F13" w14:textId="77777777" w:rsidR="00F858B6" w:rsidRDefault="00F858B6" w:rsidP="00F858B6">
      <w:pPr>
        <w:autoSpaceDE w:val="0"/>
        <w:autoSpaceDN w:val="0"/>
        <w:adjustRightInd w:val="0"/>
        <w:spacing w:line="480" w:lineRule="auto"/>
        <w:rPr>
          <w:rFonts w:eastAsiaTheme="minorHAnsi" w:cs="Times New Roman"/>
          <w:color w:val="131413"/>
          <w:lang w:val="en-IN"/>
        </w:rPr>
      </w:pPr>
      <w:r>
        <w:rPr>
          <w:rFonts w:cs="Times New Roman"/>
          <w:lang w:val="en-US"/>
        </w:rPr>
        <w:t xml:space="preserve">In our study, we implemented GWAS with MLM, SUPER and Farm-CPU methods using R/GAPIT 3.0 package and visualization of circular </w:t>
      </w:r>
      <w:proofErr w:type="spellStart"/>
      <w:r>
        <w:rPr>
          <w:rFonts w:cs="Times New Roman"/>
          <w:lang w:val="en-US"/>
        </w:rPr>
        <w:t>manhattan</w:t>
      </w:r>
      <w:proofErr w:type="spellEnd"/>
      <w:r>
        <w:rPr>
          <w:rFonts w:cs="Times New Roman"/>
          <w:lang w:val="en-US"/>
        </w:rPr>
        <w:t xml:space="preserve"> and </w:t>
      </w:r>
      <w:proofErr w:type="spellStart"/>
      <w:r>
        <w:rPr>
          <w:rFonts w:cs="Times New Roman"/>
          <w:lang w:val="en-US"/>
        </w:rPr>
        <w:t>qq</w:t>
      </w:r>
      <w:proofErr w:type="spellEnd"/>
      <w:r>
        <w:rPr>
          <w:rFonts w:cs="Times New Roman"/>
          <w:lang w:val="en-US"/>
        </w:rPr>
        <w:t xml:space="preserve"> plots using </w:t>
      </w:r>
      <w:proofErr w:type="spellStart"/>
      <w:r>
        <w:rPr>
          <w:rFonts w:cs="Times New Roman"/>
          <w:lang w:val="en-US"/>
        </w:rPr>
        <w:t>rMVP</w:t>
      </w:r>
      <w:proofErr w:type="spellEnd"/>
      <w:r>
        <w:rPr>
          <w:rFonts w:cs="Times New Roman"/>
          <w:lang w:val="en-US"/>
        </w:rPr>
        <w:t xml:space="preserve"> package (</w:t>
      </w:r>
      <w:r>
        <w:t>0.99.17</w:t>
      </w:r>
      <w:r>
        <w:rPr>
          <w:rFonts w:cs="Times New Roman"/>
          <w:lang w:val="en-US"/>
        </w:rPr>
        <w:t>) (</w:t>
      </w:r>
      <w:hyperlink r:id="rId6" w:history="1">
        <w:r>
          <w:rPr>
            <w:rStyle w:val="Hyperlink"/>
          </w:rPr>
          <w:t>https://github.com/xiaolei-lab/rMVP</w:t>
        </w:r>
      </w:hyperlink>
      <w:r>
        <w:t>)</w:t>
      </w:r>
      <w:r>
        <w:rPr>
          <w:rFonts w:cs="Times New Roman"/>
          <w:lang w:val="en-US"/>
        </w:rPr>
        <w:t xml:space="preserve">. </w:t>
      </w:r>
      <w:r w:rsidRPr="00A47877">
        <w:rPr>
          <w:rFonts w:eastAsiaTheme="minorHAnsi" w:cs="Times New Roman"/>
          <w:color w:val="131413"/>
          <w:lang w:val="en-IN"/>
        </w:rPr>
        <w:t>The false positives in GWAS study were corrected using</w:t>
      </w:r>
      <w:r w:rsidRPr="00FB1EE9">
        <w:rPr>
          <w:rFonts w:eastAsiaTheme="minorHAnsi" w:cs="Times New Roman"/>
          <w:color w:val="131413"/>
          <w:lang w:val="en-IN"/>
        </w:rPr>
        <w:t xml:space="preserve"> </w:t>
      </w:r>
      <w:r w:rsidRPr="00A47877">
        <w:rPr>
          <w:rFonts w:eastAsiaTheme="minorHAnsi" w:cs="Times New Roman"/>
          <w:color w:val="131413"/>
          <w:lang w:val="en-IN"/>
        </w:rPr>
        <w:t xml:space="preserve">“Bonferroni Correction” factor. </w:t>
      </w:r>
      <w:r>
        <w:rPr>
          <w:rFonts w:eastAsiaTheme="minorHAnsi" w:cs="Times New Roman"/>
          <w:color w:val="131413"/>
          <w:lang w:val="en-IN"/>
        </w:rPr>
        <w:t>Using</w:t>
      </w:r>
      <w:r w:rsidRPr="00A47877">
        <w:rPr>
          <w:rFonts w:eastAsiaTheme="minorHAnsi" w:cs="Times New Roman"/>
          <w:color w:val="131413"/>
          <w:lang w:val="en-IN"/>
        </w:rPr>
        <w:t xml:space="preserve"> the Bonferroni multiple test correction (0.0</w:t>
      </w:r>
      <w:r>
        <w:rPr>
          <w:rFonts w:eastAsiaTheme="minorHAnsi" w:cs="Times New Roman"/>
          <w:color w:val="131413"/>
          <w:lang w:val="en-IN"/>
        </w:rPr>
        <w:t>5</w:t>
      </w:r>
      <w:r w:rsidRPr="00A47877">
        <w:rPr>
          <w:rFonts w:eastAsiaTheme="minorHAnsi" w:cs="Times New Roman"/>
          <w:color w:val="131413"/>
          <w:lang w:val="en-IN"/>
        </w:rPr>
        <w:t>/</w:t>
      </w:r>
      <w:r>
        <w:rPr>
          <w:rFonts w:eastAsiaTheme="minorHAnsi" w:cs="Times New Roman"/>
          <w:color w:val="131413"/>
          <w:lang w:val="en-IN"/>
        </w:rPr>
        <w:t>215,250</w:t>
      </w:r>
      <w:r w:rsidRPr="00A47877">
        <w:rPr>
          <w:rFonts w:eastAsiaTheme="minorHAnsi" w:cs="Times New Roman"/>
          <w:color w:val="131413"/>
          <w:lang w:val="en-IN"/>
        </w:rPr>
        <w:t xml:space="preserve">; </w:t>
      </w:r>
      <w:r>
        <w:rPr>
          <w:rFonts w:eastAsiaTheme="minorHAnsi" w:cs="Times New Roman"/>
          <w:color w:val="131413"/>
          <w:lang w:val="en-IN"/>
        </w:rPr>
        <w:t xml:space="preserve">at 5% level of </w:t>
      </w:r>
      <w:r w:rsidRPr="00A47877">
        <w:rPr>
          <w:rFonts w:eastAsiaTheme="minorHAnsi" w:cs="Times New Roman"/>
          <w:color w:val="131413"/>
          <w:lang w:val="en-IN"/>
        </w:rPr>
        <w:t>significance</w:t>
      </w:r>
      <w:r>
        <w:rPr>
          <w:rFonts w:eastAsiaTheme="minorHAnsi" w:cs="Times New Roman"/>
          <w:color w:val="131413"/>
          <w:lang w:val="en-IN"/>
        </w:rPr>
        <w:t>)</w:t>
      </w:r>
      <w:r w:rsidRPr="00A47877">
        <w:rPr>
          <w:rFonts w:eastAsiaTheme="minorHAnsi" w:cs="Times New Roman"/>
          <w:color w:val="131413"/>
          <w:lang w:val="en-IN"/>
        </w:rPr>
        <w:t xml:space="preserve">, the calculated threshold value was </w:t>
      </w:r>
      <w:r>
        <w:rPr>
          <w:rFonts w:eastAsiaTheme="minorHAnsi" w:cs="Times New Roman"/>
          <w:color w:val="131413"/>
          <w:lang w:val="en-IN"/>
        </w:rPr>
        <w:t>2.32</w:t>
      </w:r>
      <w:r w:rsidRPr="00A47877">
        <w:rPr>
          <w:rFonts w:eastAsiaTheme="minorHAnsi" w:cs="Times New Roman"/>
          <w:color w:val="131413"/>
          <w:lang w:val="en-IN"/>
        </w:rPr>
        <w:t xml:space="preserve"> × 10</w:t>
      </w:r>
      <w:r w:rsidRPr="00A47877">
        <w:rPr>
          <w:rFonts w:eastAsia="HmkfndAdvTT86d47313+22" w:cs="Times New Roman"/>
          <w:color w:val="131413"/>
          <w:vertAlign w:val="superscript"/>
          <w:lang w:val="en-IN"/>
        </w:rPr>
        <w:t>−</w:t>
      </w:r>
      <w:r>
        <w:rPr>
          <w:rFonts w:eastAsiaTheme="minorHAnsi" w:cs="Times New Roman"/>
          <w:color w:val="131413"/>
          <w:vertAlign w:val="superscript"/>
          <w:lang w:val="en-IN"/>
        </w:rPr>
        <w:t>7</w:t>
      </w:r>
      <w:r w:rsidRPr="00A47877">
        <w:rPr>
          <w:rFonts w:eastAsiaTheme="minorHAnsi" w:cs="Times New Roman"/>
          <w:color w:val="131413"/>
          <w:lang w:val="en-IN"/>
        </w:rPr>
        <w:t>. Only the MTAs that exceed the threshold value and which were consistent across</w:t>
      </w:r>
      <w:r>
        <w:rPr>
          <w:rFonts w:eastAsiaTheme="minorHAnsi" w:cs="Times New Roman"/>
          <w:color w:val="131413"/>
          <w:lang w:val="en-IN"/>
        </w:rPr>
        <w:t xml:space="preserve"> multi-locus methods-</w:t>
      </w:r>
      <w:r w:rsidRPr="00A47877">
        <w:rPr>
          <w:rFonts w:eastAsiaTheme="minorHAnsi" w:cs="Times New Roman"/>
          <w:color w:val="131413"/>
          <w:lang w:val="en-IN"/>
        </w:rPr>
        <w:t xml:space="preserve"> </w:t>
      </w:r>
      <w:r>
        <w:rPr>
          <w:rFonts w:eastAsiaTheme="minorHAnsi" w:cs="Times New Roman"/>
          <w:color w:val="131413"/>
          <w:lang w:val="en-IN"/>
        </w:rPr>
        <w:t>SUPER and Farm-CPU</w:t>
      </w:r>
      <w:r w:rsidRPr="00A47877">
        <w:rPr>
          <w:rFonts w:eastAsiaTheme="minorHAnsi" w:cs="Times New Roman"/>
          <w:color w:val="131413"/>
          <w:lang w:val="en-IN"/>
        </w:rPr>
        <w:t xml:space="preserve"> m</w:t>
      </w:r>
      <w:r>
        <w:rPr>
          <w:rFonts w:eastAsiaTheme="minorHAnsi" w:cs="Times New Roman"/>
          <w:color w:val="131413"/>
          <w:lang w:val="en-IN"/>
        </w:rPr>
        <w:t>ethod</w:t>
      </w:r>
      <w:r w:rsidRPr="00A47877">
        <w:rPr>
          <w:rFonts w:eastAsiaTheme="minorHAnsi" w:cs="Times New Roman"/>
          <w:color w:val="131413"/>
          <w:lang w:val="en-IN"/>
        </w:rPr>
        <w:t xml:space="preserve">s </w:t>
      </w:r>
      <w:r>
        <w:rPr>
          <w:rFonts w:eastAsiaTheme="minorHAnsi" w:cs="Times New Roman"/>
          <w:color w:val="131413"/>
          <w:lang w:val="en-IN"/>
        </w:rPr>
        <w:t>have been</w:t>
      </w:r>
      <w:r w:rsidRPr="00A47877">
        <w:rPr>
          <w:rFonts w:eastAsiaTheme="minorHAnsi" w:cs="Times New Roman"/>
          <w:color w:val="131413"/>
          <w:lang w:val="en-IN"/>
        </w:rPr>
        <w:t xml:space="preserve"> reported</w:t>
      </w:r>
      <w:r>
        <w:rPr>
          <w:rFonts w:eastAsiaTheme="minorHAnsi" w:cs="Times New Roman"/>
          <w:color w:val="131413"/>
          <w:lang w:val="en-IN"/>
        </w:rPr>
        <w:t xml:space="preserve"> in this study</w:t>
      </w:r>
      <w:r w:rsidRPr="00A47877">
        <w:rPr>
          <w:rFonts w:eastAsiaTheme="minorHAnsi" w:cs="Times New Roman"/>
          <w:color w:val="131413"/>
          <w:lang w:val="en-IN"/>
        </w:rPr>
        <w:t xml:space="preserve">. </w:t>
      </w:r>
      <w:r>
        <w:rPr>
          <w:rFonts w:eastAsiaTheme="minorHAnsi" w:cs="Times New Roman"/>
          <w:color w:val="131413"/>
          <w:lang w:val="en-IN"/>
        </w:rPr>
        <w:t>To detect seasonal variations, we explored two p-value thresholds (1e-6 and 1e-4).</w:t>
      </w:r>
    </w:p>
    <w:p w14:paraId="17BB8D92" w14:textId="77777777" w:rsidR="00F858B6" w:rsidRDefault="00F858B6" w:rsidP="00F858B6">
      <w:pPr>
        <w:autoSpaceDE w:val="0"/>
        <w:autoSpaceDN w:val="0"/>
        <w:adjustRightInd w:val="0"/>
        <w:spacing w:line="480" w:lineRule="auto"/>
        <w:rPr>
          <w:rFonts w:eastAsiaTheme="minorHAnsi" w:cs="Times New Roman"/>
          <w:color w:val="131413"/>
          <w:lang w:val="en-IN"/>
        </w:rPr>
      </w:pPr>
      <w:r w:rsidRPr="00482B7B">
        <w:rPr>
          <w:rFonts w:eastAsiaTheme="minorHAnsi" w:cs="Times New Roman"/>
          <w:color w:val="131413"/>
          <w:lang w:val="en-IN"/>
        </w:rPr>
        <w:t xml:space="preserve">The percent </w:t>
      </w:r>
      <w:r>
        <w:rPr>
          <w:rFonts w:eastAsiaTheme="minorHAnsi" w:cs="Times New Roman"/>
          <w:color w:val="131413"/>
          <w:lang w:val="en-IN"/>
        </w:rPr>
        <w:t xml:space="preserve">phenotypic </w:t>
      </w:r>
      <w:r w:rsidRPr="00482B7B">
        <w:rPr>
          <w:rFonts w:eastAsiaTheme="minorHAnsi" w:cs="Times New Roman"/>
          <w:color w:val="131413"/>
          <w:lang w:val="en-IN"/>
        </w:rPr>
        <w:t>variance</w:t>
      </w:r>
      <w:r>
        <w:rPr>
          <w:rFonts w:eastAsiaTheme="minorHAnsi" w:cs="Times New Roman"/>
          <w:color w:val="131413"/>
          <w:lang w:val="en-IN"/>
        </w:rPr>
        <w:t xml:space="preserve"> (PV)</w:t>
      </w:r>
      <w:r w:rsidRPr="00482B7B">
        <w:rPr>
          <w:rFonts w:eastAsiaTheme="minorHAnsi" w:cs="Times New Roman"/>
          <w:color w:val="131413"/>
          <w:lang w:val="en-IN"/>
        </w:rPr>
        <w:t xml:space="preserve"> ex</w:t>
      </w:r>
      <w:r>
        <w:rPr>
          <w:rFonts w:eastAsiaTheme="minorHAnsi" w:cs="Times New Roman"/>
          <w:color w:val="131413"/>
          <w:lang w:val="en-IN"/>
        </w:rPr>
        <w:t xml:space="preserve">plained by all significant SNPs detected in each environment and season was output from all models used in the study. PV explained by each significant SNP was calculated as the </w:t>
      </w:r>
      <w:r w:rsidRPr="00482B7B">
        <w:rPr>
          <w:rFonts w:eastAsiaTheme="minorHAnsi" w:cs="Times New Roman"/>
          <w:color w:val="131413"/>
          <w:lang w:val="en-IN"/>
        </w:rPr>
        <w:t>squared correlation between the phenotype and genotype of the SNP</w:t>
      </w:r>
      <w:r>
        <w:rPr>
          <w:rFonts w:eastAsiaTheme="minorHAnsi" w:cs="Times New Roman"/>
          <w:color w:val="131413"/>
          <w:lang w:val="en-IN"/>
        </w:rPr>
        <w:t>.</w:t>
      </w:r>
    </w:p>
    <w:p w14:paraId="1132E2A6" w14:textId="77777777" w:rsidR="00F858B6" w:rsidRPr="00FB1EE9" w:rsidRDefault="00F858B6" w:rsidP="00F858B6">
      <w:pPr>
        <w:autoSpaceDE w:val="0"/>
        <w:autoSpaceDN w:val="0"/>
        <w:adjustRightInd w:val="0"/>
        <w:spacing w:line="480" w:lineRule="auto"/>
        <w:rPr>
          <w:rFonts w:cs="Times New Roman"/>
          <w:lang w:val="en-US"/>
        </w:rPr>
      </w:pPr>
    </w:p>
    <w:p w14:paraId="682DAE27" w14:textId="77777777" w:rsidR="00F858B6" w:rsidRPr="009C0A69" w:rsidRDefault="00F858B6" w:rsidP="00F858B6">
      <w:pPr>
        <w:pStyle w:val="Heading2"/>
        <w:spacing w:line="480" w:lineRule="auto"/>
      </w:pPr>
      <w:r>
        <w:t>Candidate genes discovery</w:t>
      </w:r>
    </w:p>
    <w:p w14:paraId="3B7F02AF" w14:textId="77777777" w:rsidR="00F858B6" w:rsidRDefault="00F858B6" w:rsidP="00F858B6">
      <w:pPr>
        <w:autoSpaceDE w:val="0"/>
        <w:autoSpaceDN w:val="0"/>
        <w:adjustRightInd w:val="0"/>
        <w:spacing w:line="480" w:lineRule="auto"/>
        <w:rPr>
          <w:rFonts w:eastAsiaTheme="minorHAnsi" w:cs="Times New Roman"/>
          <w:color w:val="131413"/>
          <w:lang w:val="en-IN"/>
        </w:rPr>
      </w:pPr>
      <w:r w:rsidRPr="00A47877">
        <w:rPr>
          <w:rFonts w:eastAsiaTheme="minorHAnsi" w:cs="Times New Roman"/>
          <w:color w:val="131413"/>
          <w:lang w:val="en-IN"/>
        </w:rPr>
        <w:t xml:space="preserve">The candidate genes were searched within </w:t>
      </w:r>
      <w:r>
        <w:rPr>
          <w:rFonts w:eastAsiaTheme="minorHAnsi" w:cs="Times New Roman"/>
          <w:color w:val="131413"/>
          <w:lang w:val="en-IN"/>
        </w:rPr>
        <w:t>the 2</w:t>
      </w:r>
      <w:r w:rsidRPr="00A47877">
        <w:rPr>
          <w:rFonts w:eastAsiaTheme="minorHAnsi" w:cs="Times New Roman"/>
          <w:color w:val="131413"/>
          <w:lang w:val="en-IN"/>
        </w:rPr>
        <w:t xml:space="preserve">00-kb region around (100 kb upstream and 100 kb downstream) the detected significant </w:t>
      </w:r>
      <w:r>
        <w:rPr>
          <w:rFonts w:eastAsiaTheme="minorHAnsi" w:cs="Times New Roman"/>
          <w:color w:val="131413"/>
          <w:lang w:val="en-IN"/>
        </w:rPr>
        <w:t>SNP</w:t>
      </w:r>
      <w:r w:rsidRPr="00A47877">
        <w:rPr>
          <w:rFonts w:eastAsiaTheme="minorHAnsi" w:cs="Times New Roman"/>
          <w:color w:val="131413"/>
          <w:lang w:val="en-IN"/>
        </w:rPr>
        <w:t xml:space="preserve">. The literature searches were also performed using </w:t>
      </w:r>
      <w:r w:rsidRPr="00A47877">
        <w:rPr>
          <w:rFonts w:eastAsiaTheme="minorHAnsi" w:cs="Times New Roman"/>
          <w:color w:val="131413"/>
          <w:lang w:val="en-IN"/>
        </w:rPr>
        <w:lastRenderedPageBreak/>
        <w:t xml:space="preserve">QTARO </w:t>
      </w:r>
      <w:r>
        <w:rPr>
          <w:rFonts w:eastAsiaTheme="minorHAnsi" w:cs="Times New Roman"/>
          <w:color w:val="131413"/>
          <w:lang w:val="en-IN"/>
        </w:rPr>
        <w:t xml:space="preserve">and MSU </w:t>
      </w:r>
      <w:r w:rsidRPr="00A47877">
        <w:rPr>
          <w:rFonts w:eastAsiaTheme="minorHAnsi" w:cs="Times New Roman"/>
          <w:color w:val="131413"/>
          <w:lang w:val="en-IN"/>
        </w:rPr>
        <w:t>database</w:t>
      </w:r>
      <w:r>
        <w:rPr>
          <w:rFonts w:eastAsiaTheme="minorHAnsi" w:cs="Times New Roman"/>
          <w:color w:val="131413"/>
          <w:lang w:val="en-IN"/>
        </w:rPr>
        <w:t>s</w:t>
      </w:r>
      <w:r w:rsidRPr="00A47877">
        <w:rPr>
          <w:rFonts w:eastAsiaTheme="minorHAnsi" w:cs="Times New Roman"/>
          <w:color w:val="131413"/>
          <w:lang w:val="en-IN"/>
        </w:rPr>
        <w:t xml:space="preserve"> (</w:t>
      </w:r>
      <w:hyperlink r:id="rId7" w:history="1">
        <w:r w:rsidRPr="00A47877">
          <w:rPr>
            <w:rStyle w:val="Hyperlink"/>
            <w:rFonts w:eastAsiaTheme="minorHAnsi" w:cs="Times New Roman"/>
            <w:lang w:val="en-IN"/>
          </w:rPr>
          <w:t>http://qtaro.abr.affrc.go.jp</w:t>
        </w:r>
      </w:hyperlink>
      <w:r>
        <w:rPr>
          <w:rFonts w:eastAsiaTheme="minorHAnsi" w:cs="Times New Roman"/>
          <w:color w:val="0000FF"/>
          <w:lang w:val="en-IN"/>
        </w:rPr>
        <w:t xml:space="preserve"> </w:t>
      </w:r>
      <w:r w:rsidRPr="009F4E41">
        <w:rPr>
          <w:rFonts w:eastAsiaTheme="minorHAnsi" w:cs="Times New Roman"/>
          <w:lang w:val="en-IN"/>
        </w:rPr>
        <w:t>and</w:t>
      </w:r>
      <w:r>
        <w:rPr>
          <w:rFonts w:eastAsiaTheme="minorHAnsi" w:cs="Times New Roman"/>
          <w:color w:val="0000FF"/>
          <w:lang w:val="en-IN"/>
        </w:rPr>
        <w:t xml:space="preserve"> </w:t>
      </w:r>
      <w:hyperlink r:id="rId8" w:history="1">
        <w:r>
          <w:rPr>
            <w:rStyle w:val="Hyperlink"/>
          </w:rPr>
          <w:t>http://rice.plantbiology.msu.edu</w:t>
        </w:r>
      </w:hyperlink>
      <w:r w:rsidRPr="00A47877">
        <w:rPr>
          <w:rFonts w:eastAsiaTheme="minorHAnsi" w:cs="Times New Roman"/>
          <w:color w:val="131413"/>
          <w:lang w:val="en-IN"/>
        </w:rPr>
        <w:t>) to identify the earlier reported QTLs present in the LD region.</w:t>
      </w:r>
    </w:p>
    <w:p w14:paraId="1296B85D" w14:textId="77777777" w:rsidR="00F858B6" w:rsidRDefault="00F858B6" w:rsidP="00F858B6">
      <w:pPr>
        <w:autoSpaceDE w:val="0"/>
        <w:autoSpaceDN w:val="0"/>
        <w:adjustRightInd w:val="0"/>
        <w:spacing w:line="480" w:lineRule="auto"/>
        <w:rPr>
          <w:rFonts w:eastAsiaTheme="minorHAnsi" w:cs="Times New Roman"/>
          <w:color w:val="131413"/>
          <w:lang w:val="en-IN"/>
        </w:rPr>
      </w:pPr>
    </w:p>
    <w:p w14:paraId="3B2B7185" w14:textId="77777777" w:rsidR="00F858B6" w:rsidRDefault="00F858B6" w:rsidP="00F858B6">
      <w:pPr>
        <w:pStyle w:val="Heading2"/>
        <w:spacing w:line="480" w:lineRule="auto"/>
        <w:rPr>
          <w:rFonts w:eastAsiaTheme="minorHAnsi"/>
          <w:color w:val="131413"/>
          <w:lang w:val="en-IN"/>
        </w:rPr>
      </w:pPr>
      <w:r>
        <w:t>Selection of accessions as potential donors in breeding programs</w:t>
      </w:r>
    </w:p>
    <w:p w14:paraId="0CAEDBD4" w14:textId="77777777" w:rsidR="00F858B6" w:rsidRDefault="00F858B6" w:rsidP="00F858B6">
      <w:pPr>
        <w:widowControl w:val="0"/>
        <w:autoSpaceDE w:val="0"/>
        <w:autoSpaceDN w:val="0"/>
        <w:adjustRightInd w:val="0"/>
        <w:spacing w:after="240" w:line="480" w:lineRule="auto"/>
        <w:rPr>
          <w:rFonts w:cs="Times New Roman"/>
          <w:lang w:val="en-US"/>
        </w:rPr>
      </w:pPr>
      <w:r>
        <w:rPr>
          <w:rFonts w:cs="Times New Roman"/>
          <w:lang w:val="en-US"/>
        </w:rPr>
        <w:t xml:space="preserve">Promising accessions were selected from the population based on yield advantage over non-stress condition in WS for both lowland and upland stress environments and over checks in each environment in DS. The premise was to identify a set of accessions that can be incorporated in breeding programs for drought tolerance under both lowland and upland environments with the advantage of early flowering and short plant type under RS drought. </w:t>
      </w:r>
    </w:p>
    <w:p w14:paraId="2B3405B2" w14:textId="77777777" w:rsidR="00F858B6" w:rsidRDefault="00F858B6" w:rsidP="00F858B6">
      <w:pPr>
        <w:widowControl w:val="0"/>
        <w:autoSpaceDE w:val="0"/>
        <w:autoSpaceDN w:val="0"/>
        <w:adjustRightInd w:val="0"/>
        <w:spacing w:after="240" w:line="480" w:lineRule="auto"/>
        <w:rPr>
          <w:rFonts w:cs="Times New Roman"/>
          <w:lang w:val="en-US"/>
        </w:rPr>
      </w:pPr>
      <w:r>
        <w:rPr>
          <w:rFonts w:cs="Times New Roman"/>
          <w:lang w:val="en-US"/>
        </w:rPr>
        <w:t>These selected a</w:t>
      </w:r>
      <w:r w:rsidRPr="00C8283E">
        <w:rPr>
          <w:rFonts w:cs="Times New Roman"/>
          <w:lang w:val="en-US"/>
        </w:rPr>
        <w:t>ccessions were analyzed for allelic effect using 101</w:t>
      </w:r>
      <w:r>
        <w:rPr>
          <w:rFonts w:cs="Times New Roman"/>
          <w:lang w:val="en-US"/>
        </w:rPr>
        <w:t xml:space="preserve"> (on 94 unique loci with 4 having </w:t>
      </w:r>
      <w:proofErr w:type="spellStart"/>
      <w:r>
        <w:rPr>
          <w:rFonts w:cs="Times New Roman"/>
          <w:lang w:val="en-US"/>
        </w:rPr>
        <w:t>colocalisation</w:t>
      </w:r>
      <w:proofErr w:type="spellEnd"/>
      <w:r>
        <w:rPr>
          <w:rFonts w:cs="Times New Roman"/>
          <w:lang w:val="en-US"/>
        </w:rPr>
        <w:t xml:space="preserve"> for multiple traits)</w:t>
      </w:r>
      <w:r w:rsidRPr="00C8283E">
        <w:rPr>
          <w:rFonts w:cs="Times New Roman"/>
          <w:lang w:val="en-US"/>
        </w:rPr>
        <w:t xml:space="preserve"> significant MTAs validated from database and earlier reported literature</w:t>
      </w:r>
      <w:r>
        <w:rPr>
          <w:rFonts w:cs="Times New Roman"/>
          <w:lang w:val="en-US"/>
        </w:rPr>
        <w:t xml:space="preserve"> for grain yield QTLs</w:t>
      </w:r>
      <w:r w:rsidRPr="00C8283E">
        <w:rPr>
          <w:rFonts w:cs="Times New Roman"/>
          <w:lang w:val="en-US"/>
        </w:rPr>
        <w:t xml:space="preserve">. Allelic </w:t>
      </w:r>
      <w:r>
        <w:rPr>
          <w:rFonts w:cs="Times New Roman"/>
          <w:lang w:val="en-US"/>
        </w:rPr>
        <w:t xml:space="preserve">variation was studied for effect of allelic contribution to trait mean for DTF, PH and GY under LL_S and UL_S in both seasons. </w:t>
      </w:r>
      <w:r w:rsidRPr="00783F35">
        <w:rPr>
          <w:rFonts w:cs="Times New Roman"/>
          <w:lang w:val="en-US"/>
        </w:rPr>
        <w:t xml:space="preserve">Five classes of loci were established – three based on presence of major allele in all seven accessions contributing to phenotypic performance for tolerance under LL_S + UL_S (class I abbreviated as </w:t>
      </w:r>
      <w:r>
        <w:rPr>
          <w:rFonts w:cs="Times New Roman"/>
          <w:lang w:val="en-US"/>
        </w:rPr>
        <w:t>cl-</w:t>
      </w:r>
      <w:r w:rsidRPr="00783F35">
        <w:rPr>
          <w:rFonts w:cs="Times New Roman"/>
          <w:lang w:val="en-US"/>
        </w:rPr>
        <w:t xml:space="preserve">I); </w:t>
      </w:r>
      <w:r>
        <w:rPr>
          <w:rFonts w:cs="Times New Roman"/>
          <w:lang w:val="en-US"/>
        </w:rPr>
        <w:t xml:space="preserve">under </w:t>
      </w:r>
      <w:r w:rsidRPr="00783F35">
        <w:rPr>
          <w:rFonts w:cs="Times New Roman"/>
          <w:lang w:val="en-US"/>
        </w:rPr>
        <w:t>UL_S</w:t>
      </w:r>
      <w:r>
        <w:rPr>
          <w:rFonts w:cs="Times New Roman"/>
          <w:lang w:val="en-US"/>
        </w:rPr>
        <w:t xml:space="preserve"> only</w:t>
      </w:r>
      <w:r w:rsidRPr="00783F35">
        <w:rPr>
          <w:rFonts w:cs="Times New Roman"/>
          <w:lang w:val="en-US"/>
        </w:rPr>
        <w:t xml:space="preserve"> (class II abbreviated as </w:t>
      </w:r>
      <w:r>
        <w:rPr>
          <w:rFonts w:cs="Times New Roman"/>
          <w:lang w:val="en-US"/>
        </w:rPr>
        <w:t>cl-</w:t>
      </w:r>
      <w:r w:rsidRPr="00783F35">
        <w:rPr>
          <w:rFonts w:cs="Times New Roman"/>
          <w:lang w:val="en-US"/>
        </w:rPr>
        <w:t xml:space="preserve">II) and </w:t>
      </w:r>
      <w:r>
        <w:rPr>
          <w:rFonts w:cs="Times New Roman"/>
          <w:lang w:val="en-US"/>
        </w:rPr>
        <w:t xml:space="preserve">under </w:t>
      </w:r>
      <w:r w:rsidRPr="00783F35">
        <w:rPr>
          <w:rFonts w:cs="Times New Roman"/>
          <w:lang w:val="en-US"/>
        </w:rPr>
        <w:t>LL_S</w:t>
      </w:r>
      <w:r>
        <w:rPr>
          <w:rFonts w:cs="Times New Roman"/>
          <w:lang w:val="en-US"/>
        </w:rPr>
        <w:t xml:space="preserve"> only</w:t>
      </w:r>
      <w:r w:rsidRPr="00783F35">
        <w:rPr>
          <w:rFonts w:cs="Times New Roman"/>
          <w:lang w:val="en-US"/>
        </w:rPr>
        <w:t xml:space="preserve"> (class III abbreviated as </w:t>
      </w:r>
      <w:r>
        <w:rPr>
          <w:rFonts w:cs="Times New Roman"/>
          <w:lang w:val="en-US"/>
        </w:rPr>
        <w:t>cl-</w:t>
      </w:r>
      <w:r w:rsidRPr="00783F35">
        <w:rPr>
          <w:rFonts w:cs="Times New Roman"/>
          <w:lang w:val="en-US"/>
        </w:rPr>
        <w:t>III) while the fourth class (</w:t>
      </w:r>
      <w:r>
        <w:rPr>
          <w:rFonts w:cs="Times New Roman"/>
          <w:lang w:val="en-US"/>
        </w:rPr>
        <w:t>cl-</w:t>
      </w:r>
      <w:r w:rsidRPr="00783F35">
        <w:rPr>
          <w:rFonts w:cs="Times New Roman"/>
          <w:lang w:val="en-US"/>
        </w:rPr>
        <w:t>IV) contained loci with minor allele associated to phenotypic performance for tolerance under both LL_S + UL_S. The fifth class (</w:t>
      </w:r>
      <w:r>
        <w:rPr>
          <w:rFonts w:cs="Times New Roman"/>
          <w:lang w:val="en-US"/>
        </w:rPr>
        <w:t>cl-</w:t>
      </w:r>
      <w:r w:rsidRPr="00783F35">
        <w:rPr>
          <w:rFonts w:cs="Times New Roman"/>
          <w:lang w:val="en-US"/>
        </w:rPr>
        <w:t>V) consisted of loci with neither the major nor minor allele associated to phenotypic performance for tolerance under RS drought</w:t>
      </w:r>
      <w:r>
        <w:rPr>
          <w:rFonts w:cs="Times New Roman"/>
          <w:lang w:val="en-US"/>
        </w:rPr>
        <w:t xml:space="preserve"> in the selected accessions</w:t>
      </w:r>
      <w:r w:rsidRPr="00783F35">
        <w:rPr>
          <w:rFonts w:cs="Times New Roman"/>
          <w:lang w:val="en-US"/>
        </w:rPr>
        <w:t>. Further, validation of phenotypic-based selection of each accession was done by computing the percentage composition of favorable alleles in the set of 94 loci.</w:t>
      </w:r>
    </w:p>
    <w:p w14:paraId="273E5D1D" w14:textId="77777777" w:rsidR="00E95803" w:rsidRDefault="00E95803"/>
    <w:sectPr w:rsidR="00E9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mkfndAdvTT86d47313+2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B6"/>
    <w:rsid w:val="00E95803"/>
    <w:rsid w:val="00F8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AF21"/>
  <w15:chartTrackingRefBased/>
  <w15:docId w15:val="{64CEC5A6-B561-4216-9B8D-BCAF70E3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8B6"/>
    <w:pPr>
      <w:spacing w:after="0" w:line="240" w:lineRule="auto"/>
      <w:jc w:val="both"/>
    </w:pPr>
    <w:rPr>
      <w:rFonts w:ascii="Times New Roman" w:eastAsiaTheme="minorEastAsia" w:hAnsi="Times New Roman"/>
      <w:sz w:val="24"/>
      <w:szCs w:val="24"/>
      <w:lang w:val="en-PH"/>
    </w:rPr>
  </w:style>
  <w:style w:type="paragraph" w:styleId="Heading2">
    <w:name w:val="heading 2"/>
    <w:basedOn w:val="Normal"/>
    <w:next w:val="Normal"/>
    <w:link w:val="Heading2Char"/>
    <w:uiPriority w:val="9"/>
    <w:unhideWhenUsed/>
    <w:qFormat/>
    <w:rsid w:val="00F858B6"/>
    <w:pPr>
      <w:keepNext/>
      <w:keepLines/>
      <w:spacing w:after="240" w:line="360" w:lineRule="auto"/>
      <w:outlineLvl w:val="1"/>
    </w:pPr>
    <w:rPr>
      <w:rFonts w:eastAsiaTheme="majorEastAsia" w:cs="Times New Roman"/>
      <w:b/>
      <w:bCs/>
      <w:szCs w:val="26"/>
    </w:rPr>
  </w:style>
  <w:style w:type="paragraph" w:styleId="Heading3">
    <w:name w:val="heading 3"/>
    <w:basedOn w:val="Normal"/>
    <w:next w:val="Normal"/>
    <w:link w:val="Heading3Char"/>
    <w:uiPriority w:val="9"/>
    <w:unhideWhenUsed/>
    <w:qFormat/>
    <w:rsid w:val="00F858B6"/>
    <w:pPr>
      <w:widowControl w:val="0"/>
      <w:autoSpaceDE w:val="0"/>
      <w:autoSpaceDN w:val="0"/>
      <w:adjustRightInd w:val="0"/>
      <w:spacing w:after="240" w:line="360" w:lineRule="auto"/>
      <w:outlineLvl w:val="2"/>
    </w:pPr>
    <w:rPr>
      <w:rFonts w:cs="Times New Roman"/>
      <w:b/>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8B6"/>
    <w:rPr>
      <w:rFonts w:ascii="Times New Roman" w:eastAsiaTheme="majorEastAsia" w:hAnsi="Times New Roman" w:cs="Times New Roman"/>
      <w:b/>
      <w:bCs/>
      <w:sz w:val="24"/>
      <w:szCs w:val="26"/>
      <w:lang w:val="en-PH"/>
    </w:rPr>
  </w:style>
  <w:style w:type="character" w:customStyle="1" w:styleId="Heading3Char">
    <w:name w:val="Heading 3 Char"/>
    <w:basedOn w:val="DefaultParagraphFont"/>
    <w:link w:val="Heading3"/>
    <w:uiPriority w:val="9"/>
    <w:rsid w:val="00F858B6"/>
    <w:rPr>
      <w:rFonts w:ascii="Times New Roman" w:eastAsiaTheme="minorEastAsia" w:hAnsi="Times New Roman" w:cs="Times New Roman"/>
      <w:b/>
      <w:i/>
      <w:sz w:val="24"/>
      <w:szCs w:val="24"/>
    </w:rPr>
  </w:style>
  <w:style w:type="character" w:styleId="Hyperlink">
    <w:name w:val="Hyperlink"/>
    <w:basedOn w:val="DefaultParagraphFont"/>
    <w:uiPriority w:val="99"/>
    <w:unhideWhenUsed/>
    <w:rsid w:val="00F858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ce.plantbiology.msu.edu/" TargetMode="External"/><Relationship Id="rId3" Type="http://schemas.openxmlformats.org/officeDocument/2006/relationships/webSettings" Target="webSettings.xml"/><Relationship Id="rId7" Type="http://schemas.openxmlformats.org/officeDocument/2006/relationships/hyperlink" Target="http://qtaro.abr.affrc.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thub.com/xiaolei-lab/rMVP" TargetMode="External"/><Relationship Id="rId5" Type="http://schemas.openxmlformats.org/officeDocument/2006/relationships/hyperlink" Target="http://www.xlstat.com/en/products-solutions/pro.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1789</Words>
  <Characters>10202</Characters>
  <Application>Microsoft Office Word</Application>
  <DocSecurity>0</DocSecurity>
  <Lines>85</Lines>
  <Paragraphs>23</Paragraphs>
  <ScaleCrop>false</ScaleCrop>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Bevins</dc:creator>
  <cp:keywords/>
  <dc:description/>
  <cp:lastModifiedBy>Karina Bevins</cp:lastModifiedBy>
  <cp:revision>1</cp:revision>
  <dcterms:created xsi:type="dcterms:W3CDTF">2020-06-23T17:02:00Z</dcterms:created>
  <dcterms:modified xsi:type="dcterms:W3CDTF">2020-06-23T17:02:00Z</dcterms:modified>
</cp:coreProperties>
</file>