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B990E" w14:textId="3369AC6A" w:rsidR="00BF6B6B" w:rsidRDefault="005C7306" w:rsidP="005C7306">
      <w:pPr>
        <w:jc w:val="center"/>
        <w:rPr>
          <w:rFonts w:ascii="Times New Roman" w:hAnsi="Times New Roman" w:cs="Times New Roman"/>
          <w:sz w:val="24"/>
          <w:szCs w:val="24"/>
        </w:rPr>
      </w:pPr>
      <w:r w:rsidRPr="005C7306">
        <w:rPr>
          <w:rFonts w:ascii="Times New Roman" w:hAnsi="Times New Roman" w:cs="Times New Roman"/>
          <w:sz w:val="24"/>
          <w:szCs w:val="24"/>
        </w:rPr>
        <w:t>Supplementary information</w:t>
      </w:r>
    </w:p>
    <w:p w14:paraId="4AF611D7" w14:textId="77777777" w:rsidR="005C7306" w:rsidRDefault="005C7306" w:rsidP="005C730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Pyridine based cross-linked chitosan: a biopolymer adsorbent for the green removal of toxic metals from water</w:t>
      </w:r>
    </w:p>
    <w:p w14:paraId="5D174769" w14:textId="77777777" w:rsidR="005C7306" w:rsidRDefault="005C7306" w:rsidP="005C7306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Ibraheem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Olayiwola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Bisiriyu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Reinout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Meijboom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11B6CF8" w14:textId="77777777" w:rsidR="005C7306" w:rsidRDefault="005C7306" w:rsidP="005C7306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Department of Chemical Sciences, University of Johannesburg, PO Box 524, Auckland Park, </w:t>
      </w:r>
    </w:p>
    <w:p w14:paraId="74306086" w14:textId="77777777" w:rsidR="005C7306" w:rsidRDefault="005C7306" w:rsidP="005C7306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Johannesburg 2006, South Africa. </w:t>
      </w:r>
    </w:p>
    <w:p w14:paraId="7EF3ED3C" w14:textId="77777777" w:rsidR="005C7306" w:rsidRDefault="005C7306" w:rsidP="005C7306">
      <w:pPr>
        <w:spacing w:line="360" w:lineRule="auto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t xml:space="preserve">Email: </w:t>
      </w:r>
      <w:hyperlink r:id="rId4">
        <w:r>
          <w:rPr>
            <w:rStyle w:val="InternetLink"/>
            <w:rFonts w:ascii="Times New Roman" w:hAnsi="Times New Roman" w:cs="Times New Roman"/>
            <w:i/>
            <w:sz w:val="24"/>
            <w:szCs w:val="24"/>
          </w:rPr>
          <w:t>rmeijboom@uj.ac.za</w:t>
        </w:r>
      </w:hyperlink>
      <w:r>
        <w:rPr>
          <w:rFonts w:ascii="Times New Roman" w:hAnsi="Times New Roman" w:cs="Times New Roman"/>
          <w:i/>
          <w:sz w:val="24"/>
          <w:szCs w:val="24"/>
        </w:rPr>
        <w:t>, bisiriyy@yahoo.com</w:t>
      </w:r>
    </w:p>
    <w:p w14:paraId="029A7A0C" w14:textId="77777777" w:rsidR="005C7306" w:rsidRDefault="005C7306" w:rsidP="005C730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D93424" w14:textId="0A58900A" w:rsidR="005C7306" w:rsidRDefault="005C7306" w:rsidP="005C730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Materials and instrumentations </w:t>
      </w:r>
    </w:p>
    <w:p w14:paraId="73B21414" w14:textId="77777777" w:rsidR="005C7306" w:rsidRDefault="005C7306" w:rsidP="005C7306">
      <w:pPr>
        <w:tabs>
          <w:tab w:val="left" w:pos="11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Pyridine-2,6-dicarboxylic acid (PDC) and chitosan (obtained from crab shell) were acquired from Sigma-Aldrich. </w:t>
      </w:r>
      <w:proofErr w:type="gramStart"/>
      <w:r>
        <w:rPr>
          <w:rFonts w:ascii="Times New Roman" w:hAnsi="Times New Roman" w:cs="Times New Roman"/>
          <w:sz w:val="24"/>
          <w:szCs w:val="24"/>
        </w:rPr>
        <w:t>Cr(</w:t>
      </w:r>
      <w:proofErr w:type="gramEnd"/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·9H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O, MnCl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·4H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O, NiCl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CdCl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·H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O, (CH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COO)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Pb·3H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 and Cu(NO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2·</w:t>
      </w:r>
      <w:r>
        <w:rPr>
          <w:rFonts w:ascii="Times New Roman" w:hAnsi="Times New Roman" w:cs="Times New Roman"/>
          <w:sz w:val="24"/>
          <w:szCs w:val="24"/>
        </w:rPr>
        <w:t>2.5H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 which were used as the source of the metal ions were of analytical reagent grade likewise other substances.</w:t>
      </w:r>
    </w:p>
    <w:p w14:paraId="11B93CA7" w14:textId="41FEF668" w:rsidR="005C7306" w:rsidRDefault="005C7306" w:rsidP="005C7306">
      <w:pPr>
        <w:tabs>
          <w:tab w:val="left" w:pos="11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Chitosan and 2,6-pyridinedicarboxylic acid cross-linked chitosan (PDC-CCS) have been characterized using the following instrumental analysis: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H NMR,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>
        <w:rPr>
          <w:rFonts w:ascii="Times New Roman" w:hAnsi="Times New Roman" w:cs="Times New Roman"/>
          <w:sz w:val="24"/>
          <w:szCs w:val="24"/>
        </w:rPr>
        <w:t>C NMR, UV-visible spectroscopy, FT-IR spectroscopy, elemental analysis, powdered x-ray diffraction spectroscopy, BET, scanning electron microscopy (SEM), thermogravimetric analysis (TGA) and differential scanning calorimetry (DSC).</w:t>
      </w:r>
    </w:p>
    <w:p w14:paraId="6D3FCD78" w14:textId="1DA1B99D" w:rsidR="007E16F5" w:rsidRDefault="007E16F5" w:rsidP="005C7306">
      <w:pPr>
        <w:tabs>
          <w:tab w:val="left" w:pos="11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C6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E5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 w:rsidRPr="00C83E57">
        <w:rPr>
          <w:rFonts w:ascii="Times New Roman" w:hAnsi="Times New Roman" w:cs="Times New Roman"/>
          <w:sz w:val="24"/>
          <w:szCs w:val="24"/>
        </w:rPr>
        <w:t>NMR spectra of chitosan an</w:t>
      </w:r>
      <w:r>
        <w:rPr>
          <w:rFonts w:ascii="Times New Roman" w:hAnsi="Times New Roman" w:cs="Times New Roman"/>
          <w:sz w:val="24"/>
          <w:szCs w:val="24"/>
        </w:rPr>
        <w:t>d PDC-CCS were recorded on a</w:t>
      </w:r>
      <w:r w:rsidRPr="00C83E57">
        <w:rPr>
          <w:rFonts w:ascii="Times New Roman" w:hAnsi="Times New Roman" w:cs="Times New Roman"/>
          <w:sz w:val="24"/>
          <w:szCs w:val="24"/>
        </w:rPr>
        <w:t xml:space="preserve"> 500MHz Bruker </w:t>
      </w:r>
      <w:proofErr w:type="spellStart"/>
      <w:r w:rsidRPr="00C83E57">
        <w:rPr>
          <w:rFonts w:ascii="Times New Roman" w:hAnsi="Times New Roman" w:cs="Times New Roman"/>
          <w:sz w:val="24"/>
          <w:szCs w:val="24"/>
        </w:rPr>
        <w:t>Avance</w:t>
      </w:r>
      <w:proofErr w:type="spellEnd"/>
      <w:r w:rsidRPr="00C83E57">
        <w:rPr>
          <w:rFonts w:ascii="Times New Roman" w:hAnsi="Times New Roman" w:cs="Times New Roman"/>
          <w:sz w:val="24"/>
          <w:szCs w:val="24"/>
        </w:rPr>
        <w:t xml:space="preserve"> spectrometer.</w:t>
      </w:r>
    </w:p>
    <w:p w14:paraId="081BAA46" w14:textId="77777777" w:rsidR="003902FF" w:rsidRDefault="003902FF" w:rsidP="003902FF">
      <w:pPr>
        <w:tabs>
          <w:tab w:val="left" w:pos="1188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83E57">
        <w:rPr>
          <w:rFonts w:ascii="Times New Roman" w:eastAsiaTheme="minorEastAsia" w:hAnsi="Times New Roman" w:cs="Times New Roman"/>
          <w:sz w:val="24"/>
          <w:szCs w:val="24"/>
        </w:rPr>
        <w:t xml:space="preserve">UV-vis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spectra were collected </w:t>
      </w:r>
      <w:r w:rsidRPr="00C83E57">
        <w:rPr>
          <w:rFonts w:ascii="Times New Roman" w:eastAsiaTheme="minorEastAsia" w:hAnsi="Times New Roman" w:cs="Times New Roman"/>
          <w:sz w:val="24"/>
          <w:szCs w:val="24"/>
        </w:rPr>
        <w:t>on a Shim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adzu UV-1800 spectrophotometer while </w:t>
      </w:r>
      <w:r w:rsidRPr="00C83E57">
        <w:rPr>
          <w:rFonts w:ascii="Times New Roman" w:eastAsiaTheme="minorEastAsia" w:hAnsi="Times New Roman" w:cs="Times New Roman"/>
          <w:sz w:val="24"/>
          <w:szCs w:val="24"/>
        </w:rPr>
        <w:t>FTIR analysis of ch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itosan and PDC-CCS was performed using </w:t>
      </w:r>
      <w:r w:rsidRPr="00C83E57">
        <w:rPr>
          <w:rFonts w:ascii="Times New Roman" w:eastAsiaTheme="minorEastAsia" w:hAnsi="Times New Roman" w:cs="Times New Roman"/>
          <w:sz w:val="24"/>
          <w:szCs w:val="24"/>
        </w:rPr>
        <w:t>a Shimadzu IRAffinity-1S.</w:t>
      </w:r>
    </w:p>
    <w:p w14:paraId="285FFF1F" w14:textId="77777777" w:rsidR="003902FF" w:rsidRPr="00C83E57" w:rsidRDefault="003902FF" w:rsidP="003902FF">
      <w:pPr>
        <w:tabs>
          <w:tab w:val="left" w:pos="1188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5CB0AE0" w14:textId="77777777" w:rsidR="003902FF" w:rsidRPr="00C83E57" w:rsidRDefault="003902FF" w:rsidP="003902FF">
      <w:pPr>
        <w:tabs>
          <w:tab w:val="left" w:pos="1188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 T</w:t>
      </w:r>
      <w:r w:rsidRPr="00C83E57">
        <w:rPr>
          <w:rFonts w:ascii="Times New Roman" w:eastAsiaTheme="minorEastAsia" w:hAnsi="Times New Roman" w:cs="Times New Roman"/>
          <w:sz w:val="24"/>
          <w:szCs w:val="24"/>
        </w:rPr>
        <w:t>hermo Scientific FLA</w:t>
      </w:r>
      <w:r>
        <w:rPr>
          <w:rFonts w:ascii="Times New Roman" w:eastAsiaTheme="minorEastAsia" w:hAnsi="Times New Roman" w:cs="Times New Roman"/>
          <w:sz w:val="24"/>
          <w:szCs w:val="24"/>
        </w:rPr>
        <w:t>SH 2000 organic elemental analyz</w:t>
      </w:r>
      <w:r w:rsidRPr="00C83E57">
        <w:rPr>
          <w:rFonts w:ascii="Times New Roman" w:eastAsiaTheme="minorEastAsia" w:hAnsi="Times New Roman" w:cs="Times New Roman"/>
          <w:sz w:val="24"/>
          <w:szCs w:val="24"/>
        </w:rPr>
        <w:t>er (CHNS-O ANALYZER)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was used for the elemental analysis</w:t>
      </w:r>
      <w:r w:rsidRPr="00C83E57">
        <w:rPr>
          <w:rFonts w:ascii="Times New Roman" w:eastAsiaTheme="minorEastAsia" w:hAnsi="Times New Roman" w:cs="Times New Roman"/>
          <w:sz w:val="24"/>
          <w:szCs w:val="24"/>
        </w:rPr>
        <w:t xml:space="preserve">. The carbon to nitrogen ratio was used to confirm crosslinking. </w:t>
      </w:r>
    </w:p>
    <w:p w14:paraId="596CF935" w14:textId="60977DA8" w:rsidR="003902FF" w:rsidRDefault="003902FF" w:rsidP="003902FF">
      <w:pPr>
        <w:tabs>
          <w:tab w:val="left" w:pos="1188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Bradford assay was performed to determine t</w:t>
      </w:r>
      <w:r w:rsidRPr="00C83E57">
        <w:rPr>
          <w:rFonts w:ascii="Times New Roman" w:eastAsiaTheme="minorEastAsia" w:hAnsi="Times New Roman" w:cs="Times New Roman"/>
          <w:sz w:val="24"/>
          <w:szCs w:val="24"/>
        </w:rPr>
        <w:t>he extent of crosslinking of chit</w:t>
      </w:r>
      <w:r>
        <w:rPr>
          <w:rFonts w:ascii="Times New Roman" w:eastAsiaTheme="minorEastAsia" w:hAnsi="Times New Roman" w:cs="Times New Roman"/>
          <w:sz w:val="24"/>
          <w:szCs w:val="24"/>
        </w:rPr>
        <w:t>osan where the number</w:t>
      </w:r>
      <w:r w:rsidRPr="00C83E57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C83E57">
        <w:rPr>
          <w:rFonts w:ascii="Times New Roman" w:eastAsiaTheme="minorEastAsia" w:hAnsi="Times New Roman" w:cs="Times New Roman"/>
          <w:sz w:val="24"/>
          <w:szCs w:val="24"/>
        </w:rPr>
        <w:t xml:space="preserve"> free amino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functional groups in chitosan before crosslinking 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</w:t>
      </w:r>
      <w:r w:rsidRPr="008649A3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b</w:t>
      </w:r>
      <w:proofErr w:type="spellEnd"/>
      <w:r w:rsidRPr="00C83E57">
        <w:rPr>
          <w:rFonts w:ascii="Times New Roman" w:eastAsiaTheme="minorEastAsia" w:hAnsi="Times New Roman" w:cs="Times New Roman"/>
          <w:sz w:val="24"/>
          <w:szCs w:val="24"/>
        </w:rPr>
        <w:t xml:space="preserve">) and after </w:t>
      </w:r>
      <w:r w:rsidRPr="00C83E57">
        <w:rPr>
          <w:rFonts w:ascii="Times New Roman" w:eastAsiaTheme="minorEastAsia" w:hAnsi="Times New Roman" w:cs="Times New Roman"/>
          <w:sz w:val="24"/>
          <w:szCs w:val="24"/>
        </w:rPr>
        <w:lastRenderedPageBreak/>
        <w:t>crosslinking (C</w:t>
      </w:r>
      <w:r w:rsidRPr="008649A3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a</w:t>
      </w:r>
      <w:r w:rsidRPr="00C83E57">
        <w:rPr>
          <w:rFonts w:ascii="Times New Roman" w:eastAsiaTheme="minorEastAsia" w:hAnsi="Times New Roman" w:cs="Times New Roman"/>
          <w:sz w:val="24"/>
          <w:szCs w:val="24"/>
        </w:rPr>
        <w:t xml:space="preserve">) is </w:t>
      </w:r>
      <w:r>
        <w:rPr>
          <w:rFonts w:ascii="Times New Roman" w:eastAsiaTheme="minorEastAsia" w:hAnsi="Times New Roman" w:cs="Times New Roman"/>
          <w:sz w:val="24"/>
          <w:szCs w:val="24"/>
        </w:rPr>
        <w:t>expected to be a function of the solution absorbance. The percentage degree of</w:t>
      </w:r>
      <w:r w:rsidRPr="00C83E57">
        <w:rPr>
          <w:rFonts w:ascii="Times New Roman" w:eastAsiaTheme="minorEastAsia" w:hAnsi="Times New Roman" w:cs="Times New Roman"/>
          <w:sz w:val="24"/>
          <w:szCs w:val="24"/>
        </w:rPr>
        <w:t xml:space="preserve"> cross-linking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was</w:t>
      </w:r>
      <w:r w:rsidRPr="00C83E57">
        <w:rPr>
          <w:rFonts w:ascii="Times New Roman" w:eastAsiaTheme="minorEastAsia" w:hAnsi="Times New Roman" w:cs="Times New Roman"/>
          <w:sz w:val="24"/>
          <w:szCs w:val="24"/>
        </w:rPr>
        <w:t xml:space="preserve"> calculate</w:t>
      </w:r>
      <w:r>
        <w:rPr>
          <w:rFonts w:ascii="Times New Roman" w:eastAsiaTheme="minorEastAsia" w:hAnsi="Times New Roman" w:cs="Times New Roman"/>
          <w:sz w:val="24"/>
          <w:szCs w:val="24"/>
        </w:rPr>
        <w:t>d from</w:t>
      </w:r>
      <w:r w:rsidRPr="00C83E5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r w:rsidRPr="00C83E57">
        <w:rPr>
          <w:rFonts w:ascii="Times New Roman" w:eastAsiaTheme="minorEastAsia" w:hAnsi="Times New Roman" w:cs="Times New Roman"/>
          <w:sz w:val="24"/>
          <w:szCs w:val="24"/>
        </w:rPr>
        <w:t>equation</w:t>
      </w:r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tbl>
      <w:tblPr>
        <w:tblStyle w:val="LightShading-Accent1"/>
        <w:tblW w:w="4822" w:type="pct"/>
        <w:tblBorders>
          <w:top w:val="none" w:sz="0" w:space="0" w:color="auto"/>
          <w:bottom w:val="none" w:sz="0" w:space="0" w:color="auto"/>
        </w:tblBorders>
        <w:tblLook w:val="0660" w:firstRow="1" w:lastRow="1" w:firstColumn="0" w:lastColumn="0" w:noHBand="1" w:noVBand="1"/>
      </w:tblPr>
      <w:tblGrid>
        <w:gridCol w:w="5212"/>
        <w:gridCol w:w="2470"/>
        <w:gridCol w:w="1345"/>
      </w:tblGrid>
      <w:tr w:rsidR="003902FF" w:rsidRPr="00FB668A" w14:paraId="034C9A28" w14:textId="77777777" w:rsidTr="007204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8"/>
        </w:trPr>
        <w:tc>
          <w:tcPr>
            <w:tcW w:w="28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44A14B2F" w14:textId="77777777" w:rsidR="003902FF" w:rsidRPr="002710A6" w:rsidRDefault="003902FF" w:rsidP="003902FF">
            <w:pPr>
              <w:tabs>
                <w:tab w:val="left" w:pos="1188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%Crosslinking index= </m:t>
                </m:r>
                <m:f>
                  <m:fPr>
                    <m:ctrlPr>
                      <w:rPr>
                        <w:rFonts w:ascii="Cambria Math" w:hAnsi="Cambria Math" w:cs="Times New Roman"/>
                        <w:b w:val="0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b w:val="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b w:val="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b w:val="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</m:t>
                        </m:r>
                      </m:sub>
                    </m:sSub>
                  </m:den>
                </m:f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×100%</m:t>
                </m:r>
              </m:oMath>
            </m:oMathPara>
          </w:p>
        </w:tc>
        <w:tc>
          <w:tcPr>
            <w:tcW w:w="13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ACE173F" w14:textId="259C913D" w:rsidR="003902FF" w:rsidRPr="002710A6" w:rsidRDefault="003902FF" w:rsidP="003902FF">
            <w:pPr>
              <w:pStyle w:val="DecimalAligned"/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F5ECF89" w14:textId="2EBC757E" w:rsidR="003902FF" w:rsidRPr="00416C90" w:rsidRDefault="003902FF" w:rsidP="003902FF">
            <w:pPr>
              <w:tabs>
                <w:tab w:val="left" w:pos="1188"/>
              </w:tabs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2CC2ACC6" w14:textId="77777777" w:rsidR="003902FF" w:rsidRPr="00C83E57" w:rsidRDefault="003902FF" w:rsidP="003902FF">
      <w:pPr>
        <w:tabs>
          <w:tab w:val="left" w:pos="1188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Where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</w:t>
      </w:r>
      <w:r w:rsidRPr="008649A3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b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is a</w:t>
      </w:r>
      <w:r w:rsidRPr="00C83E5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measure of the number</w:t>
      </w:r>
      <w:r w:rsidRPr="00C83E57">
        <w:rPr>
          <w:rFonts w:ascii="Times New Roman" w:eastAsiaTheme="minorEastAsia" w:hAnsi="Times New Roman" w:cs="Times New Roman"/>
          <w:sz w:val="24"/>
          <w:szCs w:val="24"/>
        </w:rPr>
        <w:t xml:space="preserve"> of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r w:rsidRPr="00C83E57">
        <w:rPr>
          <w:rFonts w:ascii="Times New Roman" w:eastAsiaTheme="minorEastAsia" w:hAnsi="Times New Roman" w:cs="Times New Roman"/>
          <w:sz w:val="24"/>
          <w:szCs w:val="24"/>
        </w:rPr>
        <w:t>free amino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functional groups </w:t>
      </w:r>
      <w:r w:rsidRPr="00C83E57">
        <w:rPr>
          <w:rFonts w:ascii="Times New Roman" w:eastAsiaTheme="minorEastAsia" w:hAnsi="Times New Roman" w:cs="Times New Roman"/>
          <w:sz w:val="24"/>
          <w:szCs w:val="24"/>
        </w:rPr>
        <w:t>before crosslinking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chitosan and C</w:t>
      </w:r>
      <w:r w:rsidRPr="008649A3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is a measure of the number of the free amino groups</w:t>
      </w:r>
      <w:r w:rsidRPr="00C83E57">
        <w:rPr>
          <w:rFonts w:ascii="Times New Roman" w:eastAsiaTheme="minorEastAsia" w:hAnsi="Times New Roman" w:cs="Times New Roman"/>
          <w:sz w:val="24"/>
          <w:szCs w:val="24"/>
        </w:rPr>
        <w:t xml:space="preserve"> in crosslinked chitosan.</w:t>
      </w:r>
    </w:p>
    <w:p w14:paraId="436B0345" w14:textId="77777777" w:rsidR="003902FF" w:rsidRDefault="003902FF" w:rsidP="003902FF">
      <w:pPr>
        <w:tabs>
          <w:tab w:val="left" w:pos="1188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83E57">
        <w:rPr>
          <w:rFonts w:ascii="Times New Roman" w:eastAsiaTheme="minorEastAsia" w:hAnsi="Times New Roman" w:cs="Times New Roman"/>
          <w:sz w:val="24"/>
          <w:szCs w:val="24"/>
        </w:rPr>
        <w:t>X-ray diffraction patterns for chitosan and cross-lin</w:t>
      </w:r>
      <w:r>
        <w:rPr>
          <w:rFonts w:ascii="Times New Roman" w:eastAsiaTheme="minorEastAsia" w:hAnsi="Times New Roman" w:cs="Times New Roman"/>
          <w:sz w:val="24"/>
          <w:szCs w:val="24"/>
        </w:rPr>
        <w:t>ked chitosan were analyzed with</w:t>
      </w:r>
      <w:r w:rsidRPr="00C83E57">
        <w:rPr>
          <w:rFonts w:ascii="Times New Roman" w:eastAsiaTheme="minorEastAsia" w:hAnsi="Times New Roman" w:cs="Times New Roman"/>
          <w:sz w:val="24"/>
          <w:szCs w:val="24"/>
        </w:rPr>
        <w:t xml:space="preserve"> a Rigaku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MiniF</w:t>
      </w:r>
      <w:r w:rsidRPr="00C83E57">
        <w:rPr>
          <w:rFonts w:ascii="Times New Roman" w:eastAsiaTheme="minorEastAsia" w:hAnsi="Times New Roman" w:cs="Times New Roman"/>
          <w:sz w:val="24"/>
          <w:szCs w:val="24"/>
        </w:rPr>
        <w:t>lex</w:t>
      </w:r>
      <w:proofErr w:type="spellEnd"/>
      <w:r w:rsidRPr="00C83E57">
        <w:rPr>
          <w:rFonts w:ascii="Times New Roman" w:eastAsiaTheme="minorEastAsia" w:hAnsi="Times New Roman" w:cs="Times New Roman"/>
          <w:sz w:val="24"/>
          <w:szCs w:val="24"/>
        </w:rPr>
        <w:t xml:space="preserve"> 600 diffractometer (Cu-Kα, 40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83E57">
        <w:rPr>
          <w:rFonts w:ascii="Times New Roman" w:eastAsiaTheme="minorEastAsia" w:hAnsi="Times New Roman" w:cs="Times New Roman"/>
          <w:sz w:val="24"/>
          <w:szCs w:val="24"/>
        </w:rPr>
        <w:t>KV, 40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mA, λ = 1.5406 Å) at diffraction angle of</w:t>
      </w:r>
      <w:r w:rsidRPr="00C83E57">
        <w:rPr>
          <w:rFonts w:ascii="Times New Roman" w:eastAsiaTheme="minorEastAsia" w:hAnsi="Times New Roman" w:cs="Times New Roman"/>
          <w:sz w:val="24"/>
          <w:szCs w:val="24"/>
        </w:rPr>
        <w:t xml:space="preserve"> 2</w:t>
      </w:r>
      <w:r>
        <w:rPr>
          <w:rFonts w:ascii="Times New Roman" w:eastAsiaTheme="minorEastAsia" w:hAnsi="Times New Roman" w:cs="Times New Roman"/>
          <w:sz w:val="24"/>
          <w:szCs w:val="24"/>
        </w:rPr>
        <w:t>θ</w:t>
      </w:r>
      <w:r w:rsidRPr="00C83E57">
        <w:rPr>
          <w:rFonts w:ascii="Times New Roman" w:eastAsiaTheme="minorEastAsia" w:hAnsi="Times New Roman" w:cs="Times New Roman"/>
          <w:sz w:val="24"/>
          <w:szCs w:val="24"/>
        </w:rPr>
        <w:t xml:space="preserve"> = 4 – 60</w:t>
      </w:r>
      <w:r>
        <w:rPr>
          <w:rFonts w:ascii="Times New Roman" w:eastAsiaTheme="minorEastAsia" w:hAnsi="Times New Roman" w:cs="Times New Roman"/>
          <w:sz w:val="24"/>
          <w:szCs w:val="24"/>
        </w:rPr>
        <w:t>º</w:t>
      </w:r>
    </w:p>
    <w:p w14:paraId="7B6948A7" w14:textId="77777777" w:rsidR="003902FF" w:rsidRPr="00395E02" w:rsidRDefault="003902FF" w:rsidP="003902FF">
      <w:pPr>
        <w:tabs>
          <w:tab w:val="left" w:pos="1188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1151FAA" w14:textId="77777777" w:rsidR="003902FF" w:rsidRDefault="003902FF" w:rsidP="003902FF">
      <w:pPr>
        <w:tabs>
          <w:tab w:val="left" w:pos="1188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83E57">
        <w:rPr>
          <w:rFonts w:ascii="Times New Roman" w:eastAsiaTheme="minorEastAsia" w:hAnsi="Times New Roman" w:cs="Times New Roman"/>
          <w:sz w:val="24"/>
          <w:szCs w:val="24"/>
        </w:rPr>
        <w:t>METTLER TOLEDO DSC822</w:t>
      </w:r>
      <w:r w:rsidRPr="00C83E5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e</w:t>
      </w:r>
      <w:r w:rsidRPr="00C83E57">
        <w:rPr>
          <w:rFonts w:ascii="Times New Roman" w:eastAsiaTheme="minorEastAsia" w:hAnsi="Times New Roman" w:cs="Times New Roman"/>
          <w:sz w:val="24"/>
          <w:szCs w:val="24"/>
        </w:rPr>
        <w:t xml:space="preserve"> and SDTQ600 thermograv</w:t>
      </w:r>
      <w:r>
        <w:rPr>
          <w:rFonts w:ascii="Times New Roman" w:eastAsiaTheme="minorEastAsia" w:hAnsi="Times New Roman" w:cs="Times New Roman"/>
          <w:sz w:val="24"/>
          <w:szCs w:val="24"/>
        </w:rPr>
        <w:t>imetric analyzer were used to study the thermal behavior and weight changes of the samples.</w:t>
      </w:r>
    </w:p>
    <w:p w14:paraId="726C6CEF" w14:textId="77777777" w:rsidR="003902FF" w:rsidRPr="00C83E57" w:rsidRDefault="003902FF" w:rsidP="003902FF">
      <w:pPr>
        <w:tabs>
          <w:tab w:val="left" w:pos="1188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449C0529" w14:textId="77777777" w:rsidR="003902FF" w:rsidRDefault="003902FF" w:rsidP="003902FF">
      <w:pPr>
        <w:tabs>
          <w:tab w:val="left" w:pos="1188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 </w:t>
      </w:r>
      <w:r w:rsidRPr="00C83E57">
        <w:rPr>
          <w:rFonts w:ascii="Times New Roman" w:eastAsiaTheme="minorEastAsia" w:hAnsi="Times New Roman" w:cs="Times New Roman"/>
          <w:sz w:val="24"/>
          <w:szCs w:val="24"/>
        </w:rPr>
        <w:t>Micromeritics ASAP 2460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was used for the porosity and surface area analysis. Before the analysis, streams of</w:t>
      </w:r>
      <w:r w:rsidRPr="00C83E57">
        <w:rPr>
          <w:rFonts w:ascii="Times New Roman" w:eastAsiaTheme="minorEastAsia" w:hAnsi="Times New Roman" w:cs="Times New Roman"/>
          <w:sz w:val="24"/>
          <w:szCs w:val="24"/>
        </w:rPr>
        <w:t xml:space="preserve"> N</w:t>
      </w:r>
      <w:r w:rsidRPr="00C83E5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gas were passed at 90 ℃ for about 6 h to degas the samples. </w:t>
      </w:r>
      <w:proofErr w:type="spellStart"/>
      <w:r w:rsidRPr="00C83E57">
        <w:rPr>
          <w:rFonts w:ascii="Times New Roman" w:eastAsiaTheme="minorEastAsia" w:hAnsi="Times New Roman" w:cs="Times New Roman"/>
          <w:sz w:val="24"/>
          <w:szCs w:val="24"/>
        </w:rPr>
        <w:t>Bru</w:t>
      </w:r>
      <w:r>
        <w:rPr>
          <w:rFonts w:ascii="Times New Roman" w:eastAsiaTheme="minorEastAsia" w:hAnsi="Times New Roman" w:cs="Times New Roman"/>
          <w:sz w:val="24"/>
          <w:szCs w:val="24"/>
        </w:rPr>
        <w:t>nauer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-Emmett-Teller (BET) technique was used for the surface area determination while the Barret-Joyner-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Halenda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(BJH) technique was employed in the determination of pore size and pore size distribution.</w:t>
      </w:r>
    </w:p>
    <w:p w14:paraId="307EC4F2" w14:textId="77777777" w:rsidR="003902FF" w:rsidRPr="00C83E57" w:rsidRDefault="003902FF" w:rsidP="003902FF">
      <w:pPr>
        <w:tabs>
          <w:tab w:val="left" w:pos="1188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A564398" w14:textId="77777777" w:rsidR="003902FF" w:rsidRDefault="003902FF" w:rsidP="003902FF">
      <w:pPr>
        <w:tabs>
          <w:tab w:val="left" w:pos="1188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 s</w:t>
      </w:r>
      <w:r w:rsidRPr="00C83E57">
        <w:rPr>
          <w:rFonts w:ascii="Times New Roman" w:eastAsiaTheme="minorEastAsia" w:hAnsi="Times New Roman" w:cs="Times New Roman"/>
          <w:sz w:val="24"/>
          <w:szCs w:val="24"/>
        </w:rPr>
        <w:t>urface m</w:t>
      </w:r>
      <w:r>
        <w:rPr>
          <w:rFonts w:ascii="Times New Roman" w:eastAsiaTheme="minorEastAsia" w:hAnsi="Times New Roman" w:cs="Times New Roman"/>
          <w:sz w:val="24"/>
          <w:szCs w:val="24"/>
        </w:rPr>
        <w:t>orphology of the samples was con</w:t>
      </w:r>
      <w:r w:rsidRPr="00C83E57">
        <w:rPr>
          <w:rFonts w:ascii="Times New Roman" w:eastAsiaTheme="minorEastAsia" w:hAnsi="Times New Roman" w:cs="Times New Roman"/>
          <w:sz w:val="24"/>
          <w:szCs w:val="24"/>
        </w:rPr>
        <w:t xml:space="preserve">firmed using </w:t>
      </w:r>
      <w:proofErr w:type="spellStart"/>
      <w:r w:rsidRPr="00C83E57">
        <w:rPr>
          <w:rFonts w:ascii="Times New Roman" w:eastAsiaTheme="minorEastAsia" w:hAnsi="Times New Roman" w:cs="Times New Roman"/>
          <w:sz w:val="24"/>
          <w:szCs w:val="24"/>
        </w:rPr>
        <w:t>Tescan</w:t>
      </w:r>
      <w:proofErr w:type="spellEnd"/>
      <w:r w:rsidRPr="00C83E57">
        <w:rPr>
          <w:rFonts w:ascii="Times New Roman" w:eastAsiaTheme="minorEastAsia" w:hAnsi="Times New Roman" w:cs="Times New Roman"/>
          <w:sz w:val="24"/>
          <w:szCs w:val="24"/>
        </w:rPr>
        <w:t xml:space="preserve"> Vega 3 LMH Scanning electron microscopy (SEM)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605A6D30" w14:textId="77777777" w:rsidR="003902FF" w:rsidRPr="00851727" w:rsidRDefault="003902FF" w:rsidP="005C7306">
      <w:pPr>
        <w:tabs>
          <w:tab w:val="left" w:pos="11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082C6E" w14:textId="77777777" w:rsidR="005C7306" w:rsidRPr="005C7306" w:rsidRDefault="005C7306" w:rsidP="005C7306">
      <w:pPr>
        <w:rPr>
          <w:rFonts w:ascii="Times New Roman" w:hAnsi="Times New Roman" w:cs="Times New Roman"/>
          <w:sz w:val="24"/>
          <w:szCs w:val="24"/>
        </w:rPr>
      </w:pPr>
    </w:p>
    <w:sectPr w:rsidR="005C7306" w:rsidRPr="005C7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SxMLUwN7EwNzA1tTRV0lEKTi0uzszPAykwrAUA5wZ0LywAAAA="/>
  </w:docVars>
  <w:rsids>
    <w:rsidRoot w:val="005C7306"/>
    <w:rsid w:val="000C4F00"/>
    <w:rsid w:val="00115DB1"/>
    <w:rsid w:val="00247DE2"/>
    <w:rsid w:val="0026432E"/>
    <w:rsid w:val="003902FF"/>
    <w:rsid w:val="004C61E2"/>
    <w:rsid w:val="00500E46"/>
    <w:rsid w:val="0050271B"/>
    <w:rsid w:val="005C7306"/>
    <w:rsid w:val="006B60A0"/>
    <w:rsid w:val="00720406"/>
    <w:rsid w:val="007E16F5"/>
    <w:rsid w:val="00877E59"/>
    <w:rsid w:val="008B7083"/>
    <w:rsid w:val="009E09C6"/>
    <w:rsid w:val="00BF6B6B"/>
    <w:rsid w:val="00C27780"/>
    <w:rsid w:val="00C72AB6"/>
    <w:rsid w:val="00E37381"/>
    <w:rsid w:val="00E5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4564F"/>
  <w15:chartTrackingRefBased/>
  <w15:docId w15:val="{8B060A55-42B4-4C69-9E11-A4B211DB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5C7306"/>
    <w:rPr>
      <w:color w:val="0000FF"/>
      <w:u w:val="single"/>
    </w:rPr>
  </w:style>
  <w:style w:type="paragraph" w:customStyle="1" w:styleId="DecimalAligned">
    <w:name w:val="Decimal Aligned"/>
    <w:basedOn w:val="Normal"/>
    <w:uiPriority w:val="40"/>
    <w:qFormat/>
    <w:rsid w:val="003902FF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table" w:styleId="LightShading-Accent1">
    <w:name w:val="Light Shading Accent 1"/>
    <w:basedOn w:val="TableNormal"/>
    <w:uiPriority w:val="60"/>
    <w:rsid w:val="003902FF"/>
    <w:pPr>
      <w:spacing w:after="0" w:line="240" w:lineRule="auto"/>
    </w:pPr>
    <w:rPr>
      <w:rFonts w:eastAsiaTheme="minorEastAsia"/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3902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meijboom@uj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2020-11-10T12:44:00Z</dcterms:created>
  <dcterms:modified xsi:type="dcterms:W3CDTF">2020-11-10T16:07:00Z</dcterms:modified>
</cp:coreProperties>
</file>