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55D" w:rsidRPr="00832A16" w:rsidRDefault="0073355D" w:rsidP="0073355D">
      <w:pPr>
        <w:spacing w:after="60" w:line="360" w:lineRule="auto"/>
        <w:jc w:val="center"/>
        <w:rPr>
          <w:rFonts w:asciiTheme="majorHAnsi" w:hAnsiTheme="majorHAnsi"/>
          <w:b/>
          <w:bCs/>
          <w:sz w:val="30"/>
          <w:szCs w:val="30"/>
          <w:lang w:val="en-US"/>
        </w:rPr>
      </w:pPr>
      <w:r w:rsidRPr="00832A16">
        <w:rPr>
          <w:rFonts w:asciiTheme="majorHAnsi" w:hAnsiTheme="majorHAnsi"/>
          <w:b/>
          <w:bCs/>
          <w:sz w:val="30"/>
          <w:szCs w:val="30"/>
        </w:rPr>
        <w:t xml:space="preserve">Steric blockage of </w:t>
      </w:r>
      <w:r>
        <w:rPr>
          <w:rFonts w:asciiTheme="majorHAnsi" w:hAnsiTheme="majorHAnsi"/>
          <w:b/>
          <w:bCs/>
          <w:sz w:val="30"/>
          <w:szCs w:val="30"/>
          <w:lang w:val="en-US"/>
        </w:rPr>
        <w:t>lysenin</w:t>
      </w:r>
      <w:r w:rsidRPr="00832A16">
        <w:rPr>
          <w:rFonts w:asciiTheme="majorHAnsi" w:hAnsiTheme="majorHAnsi"/>
          <w:b/>
          <w:bCs/>
          <w:sz w:val="30"/>
          <w:szCs w:val="30"/>
          <w:lang w:val="en-US"/>
        </w:rPr>
        <w:t xml:space="preserve"> toxin</w:t>
      </w:r>
      <w:r w:rsidRPr="00832A16">
        <w:rPr>
          <w:rFonts w:asciiTheme="majorHAnsi" w:hAnsiTheme="majorHAnsi"/>
          <w:b/>
          <w:bCs/>
          <w:sz w:val="30"/>
          <w:szCs w:val="30"/>
        </w:rPr>
        <w:t xml:space="preserve"> by crowding</w:t>
      </w:r>
    </w:p>
    <w:p w:rsidR="0073355D" w:rsidRPr="002201FB" w:rsidRDefault="0073355D" w:rsidP="0073355D">
      <w:pPr>
        <w:spacing w:after="60" w:line="360" w:lineRule="auto"/>
        <w:jc w:val="center"/>
        <w:rPr>
          <w:rFonts w:ascii="Calibri" w:eastAsia="Calibri" w:hAnsi="Calibri" w:cs="Calibri"/>
          <w:b/>
          <w:sz w:val="22"/>
          <w:szCs w:val="22"/>
          <w:lang w:val="es-ES_tradnl"/>
        </w:rPr>
      </w:pPr>
      <w:r w:rsidRPr="002201FB">
        <w:rPr>
          <w:rFonts w:ascii="Calibri" w:eastAsia="Calibri" w:hAnsi="Calibri" w:cs="Calibri"/>
          <w:b/>
          <w:sz w:val="22"/>
          <w:szCs w:val="22"/>
          <w:lang w:val="es-ES_tradnl"/>
        </w:rPr>
        <w:t>Ignacio L.B. Munguira</w:t>
      </w:r>
      <w:r w:rsidRPr="002201FB">
        <w:rPr>
          <w:rFonts w:ascii="Calibri" w:eastAsia="Calibri" w:hAnsi="Calibri" w:cs="Calibri"/>
          <w:b/>
          <w:sz w:val="22"/>
          <w:szCs w:val="22"/>
          <w:vertAlign w:val="superscript"/>
          <w:lang w:val="es-ES_tradnl"/>
        </w:rPr>
        <w:t>1</w:t>
      </w:r>
      <w:r>
        <w:rPr>
          <w:rFonts w:ascii="Calibri" w:eastAsia="Calibri" w:hAnsi="Calibri" w:cs="Calibri"/>
          <w:b/>
          <w:sz w:val="22"/>
          <w:szCs w:val="22"/>
          <w:lang w:val="es-ES_tradnl"/>
        </w:rPr>
        <w:t xml:space="preserve"> &amp;</w:t>
      </w:r>
      <w:r w:rsidRPr="002201FB">
        <w:rPr>
          <w:rFonts w:ascii="Calibri" w:eastAsia="Calibri" w:hAnsi="Calibri" w:cs="Calibri"/>
          <w:b/>
          <w:sz w:val="22"/>
          <w:szCs w:val="22"/>
          <w:lang w:val="es-ES_tradnl"/>
        </w:rPr>
        <w:t xml:space="preserve"> Alfonso Barbas</w:t>
      </w:r>
      <w:r w:rsidRPr="002201FB">
        <w:rPr>
          <w:rFonts w:ascii="Calibri" w:eastAsia="Calibri" w:hAnsi="Calibri" w:cs="Calibri"/>
          <w:b/>
          <w:sz w:val="22"/>
          <w:szCs w:val="22"/>
          <w:vertAlign w:val="superscript"/>
          <w:lang w:val="es-ES_tradnl"/>
        </w:rPr>
        <w:t>2</w:t>
      </w:r>
      <w:r w:rsidRPr="002201FB">
        <w:rPr>
          <w:rFonts w:ascii="Calibri" w:eastAsia="Calibri" w:hAnsi="Calibri" w:cs="Calibri"/>
          <w:b/>
          <w:sz w:val="22"/>
          <w:szCs w:val="22"/>
          <w:lang w:val="es-ES_tradnl"/>
        </w:rPr>
        <w:t xml:space="preserve">  </w:t>
      </w:r>
    </w:p>
    <w:p w:rsidR="0073355D" w:rsidRDefault="0073355D" w:rsidP="0073355D">
      <w:pPr>
        <w:rPr>
          <w:rFonts w:asciiTheme="majorHAnsi" w:hAnsiTheme="majorHAnsi"/>
          <w:sz w:val="22"/>
          <w:szCs w:val="22"/>
          <w:lang w:val="fr-FR"/>
        </w:rPr>
      </w:pPr>
      <w:r w:rsidRPr="00C44582">
        <w:rPr>
          <w:rFonts w:asciiTheme="majorHAnsi" w:hAnsiTheme="majorHAnsi"/>
          <w:sz w:val="22"/>
          <w:szCs w:val="22"/>
          <w:vertAlign w:val="superscript"/>
          <w:lang w:val="fr-FR"/>
        </w:rPr>
        <w:t xml:space="preserve">1 </w:t>
      </w:r>
      <w:r w:rsidRPr="00C44582">
        <w:rPr>
          <w:rFonts w:asciiTheme="majorHAnsi" w:hAnsiTheme="majorHAnsi"/>
          <w:sz w:val="22"/>
          <w:szCs w:val="22"/>
          <w:lang w:val="fr-FR"/>
        </w:rPr>
        <w:t>U1006 INSERM, Université Aix-Marseille, Parc Scienti</w:t>
      </w:r>
      <w:r>
        <w:rPr>
          <w:rFonts w:asciiTheme="majorHAnsi" w:hAnsiTheme="majorHAnsi"/>
          <w:sz w:val="22"/>
          <w:szCs w:val="22"/>
          <w:lang w:val="fr-FR"/>
        </w:rPr>
        <w:t>fique et Technologique de Luminy</w:t>
      </w:r>
      <w:r w:rsidRPr="00C44582">
        <w:rPr>
          <w:rFonts w:asciiTheme="majorHAnsi" w:hAnsiTheme="majorHAnsi"/>
          <w:sz w:val="22"/>
          <w:szCs w:val="22"/>
          <w:lang w:val="fr-FR"/>
        </w:rPr>
        <w:t xml:space="preserve">, 163 avenue de Luminy, 13009 Marseille, </w:t>
      </w:r>
      <w:r>
        <w:rPr>
          <w:rFonts w:asciiTheme="majorHAnsi" w:hAnsiTheme="majorHAnsi"/>
          <w:sz w:val="22"/>
          <w:szCs w:val="22"/>
          <w:lang w:val="fr-FR"/>
        </w:rPr>
        <w:t>France</w:t>
      </w:r>
    </w:p>
    <w:p w:rsidR="0073355D" w:rsidRPr="008542E9" w:rsidRDefault="0073355D" w:rsidP="0073355D">
      <w:pPr>
        <w:rPr>
          <w:rFonts w:asciiTheme="majorHAnsi" w:hAnsiTheme="majorHAnsi"/>
          <w:sz w:val="22"/>
          <w:szCs w:val="22"/>
          <w:lang w:val="es-ES"/>
        </w:rPr>
      </w:pPr>
      <w:r w:rsidRPr="008542E9">
        <w:rPr>
          <w:rFonts w:asciiTheme="majorHAnsi" w:hAnsiTheme="majorHAnsi"/>
          <w:sz w:val="22"/>
          <w:szCs w:val="22"/>
          <w:vertAlign w:val="superscript"/>
          <w:lang w:val="es-ES"/>
        </w:rPr>
        <w:t>2</w:t>
      </w:r>
      <w:r w:rsidR="000A0576">
        <w:rPr>
          <w:rFonts w:asciiTheme="majorHAnsi" w:hAnsiTheme="majorHAnsi"/>
          <w:sz w:val="22"/>
          <w:szCs w:val="22"/>
          <w:lang w:val="es-ES"/>
        </w:rPr>
        <w:t>Instituto de Fusión Nuc</w:t>
      </w:r>
      <w:r w:rsidRPr="008542E9">
        <w:rPr>
          <w:rFonts w:asciiTheme="majorHAnsi" w:hAnsiTheme="majorHAnsi"/>
          <w:sz w:val="22"/>
          <w:szCs w:val="22"/>
          <w:lang w:val="es-ES"/>
        </w:rPr>
        <w:t>e</w:t>
      </w:r>
      <w:r w:rsidR="000A0576">
        <w:rPr>
          <w:rFonts w:asciiTheme="majorHAnsi" w:hAnsiTheme="majorHAnsi"/>
          <w:sz w:val="22"/>
          <w:szCs w:val="22"/>
          <w:lang w:val="es-ES"/>
        </w:rPr>
        <w:t>l</w:t>
      </w:r>
      <w:r w:rsidRPr="008542E9">
        <w:rPr>
          <w:rFonts w:asciiTheme="majorHAnsi" w:hAnsiTheme="majorHAnsi"/>
          <w:sz w:val="22"/>
          <w:szCs w:val="22"/>
          <w:lang w:val="es-ES"/>
        </w:rPr>
        <w:t>ar, José Gutiérrez Abascal 2, 28006 Madrid, Spain</w:t>
      </w:r>
    </w:p>
    <w:p w:rsidR="0044579D" w:rsidRPr="00DA3638" w:rsidRDefault="002C42F3" w:rsidP="00DA3638">
      <w:pPr>
        <w:spacing w:line="360" w:lineRule="auto"/>
        <w:jc w:val="center"/>
        <w:rPr>
          <w:rFonts w:asciiTheme="majorHAnsi" w:hAnsiTheme="majorHAnsi" w:cstheme="majorHAnsi"/>
          <w:b/>
          <w:lang w:val="fr-FR"/>
        </w:rPr>
      </w:pPr>
      <w:r w:rsidRPr="00DA3638">
        <w:rPr>
          <w:rFonts w:asciiTheme="majorHAnsi" w:hAnsiTheme="majorHAnsi" w:cstheme="majorHAnsi"/>
          <w:b/>
          <w:lang w:val="fr-FR"/>
        </w:rPr>
        <w:br w:type="page"/>
      </w:r>
    </w:p>
    <w:p w:rsidR="00B576A4" w:rsidRPr="00DA3638" w:rsidRDefault="002C42F3" w:rsidP="00DA3638">
      <w:pPr>
        <w:spacing w:line="360" w:lineRule="auto"/>
        <w:jc w:val="center"/>
        <w:rPr>
          <w:rFonts w:asciiTheme="majorHAnsi" w:hAnsiTheme="majorHAnsi" w:cstheme="majorHAnsi"/>
          <w:b/>
        </w:rPr>
      </w:pPr>
      <w:r w:rsidRPr="00DA3638">
        <w:rPr>
          <w:rFonts w:asciiTheme="majorHAnsi" w:hAnsiTheme="majorHAnsi" w:cstheme="majorHAnsi"/>
          <w:b/>
        </w:rPr>
        <w:lastRenderedPageBreak/>
        <w:t>Supplementary Movie 1:</w:t>
      </w:r>
    </w:p>
    <w:p w:rsidR="00B576A4" w:rsidRPr="00DA3638" w:rsidRDefault="000A0576" w:rsidP="00DA3638">
      <w:pPr>
        <w:spacing w:line="360" w:lineRule="auto"/>
        <w:jc w:val="center"/>
        <w:rPr>
          <w:rFonts w:asciiTheme="majorHAnsi" w:hAnsiTheme="majorHAnsi" w:cstheme="majorHAnsi"/>
          <w:b/>
        </w:rPr>
      </w:pPr>
      <w:r>
        <w:rPr>
          <w:rFonts w:asciiTheme="majorHAnsi" w:hAnsiTheme="majorHAnsi" w:cstheme="majorHAnsi"/>
          <w:b/>
        </w:rPr>
        <w:t>O</w:t>
      </w:r>
      <w:r w:rsidR="002C42F3" w:rsidRPr="00DA3638">
        <w:rPr>
          <w:rFonts w:asciiTheme="majorHAnsi" w:hAnsiTheme="majorHAnsi" w:cstheme="majorHAnsi"/>
          <w:b/>
        </w:rPr>
        <w:t xml:space="preserve">ligomerization </w:t>
      </w:r>
      <w:r w:rsidR="000A1362" w:rsidRPr="00DA3638">
        <w:rPr>
          <w:rFonts w:asciiTheme="majorHAnsi" w:hAnsiTheme="majorHAnsi" w:cstheme="majorHAnsi"/>
          <w:b/>
        </w:rPr>
        <w:t>process</w:t>
      </w:r>
      <w:r w:rsidR="002C42F3" w:rsidRPr="00DA3638">
        <w:rPr>
          <w:rFonts w:asciiTheme="majorHAnsi" w:hAnsiTheme="majorHAnsi" w:cstheme="majorHAnsi"/>
          <w:b/>
        </w:rPr>
        <w:t xml:space="preserve"> of lysenin</w:t>
      </w:r>
      <w:r w:rsidR="000A1362" w:rsidRPr="00DA3638">
        <w:rPr>
          <w:rFonts w:asciiTheme="majorHAnsi" w:hAnsiTheme="majorHAnsi" w:cstheme="majorHAnsi"/>
          <w:b/>
        </w:rPr>
        <w:t xml:space="preserve"> at a </w:t>
      </w:r>
      <w:r w:rsidR="002C42F3" w:rsidRPr="00DA3638">
        <w:rPr>
          <w:rFonts w:asciiTheme="majorHAnsi" w:hAnsiTheme="majorHAnsi" w:cstheme="majorHAnsi"/>
          <w:b/>
        </w:rPr>
        <w:t xml:space="preserve">concentration of monomers of lysenin in a solution of 5.6µM on an SLB composed of </w:t>
      </w:r>
      <w:r w:rsidR="00E75437">
        <w:rPr>
          <w:rFonts w:asciiTheme="majorHAnsi" w:hAnsiTheme="majorHAnsi" w:cstheme="majorHAnsi"/>
          <w:b/>
        </w:rPr>
        <w:t>SM/Chol</w:t>
      </w:r>
      <w:r w:rsidR="002C42F3" w:rsidRPr="00DA3638">
        <w:rPr>
          <w:rFonts w:asciiTheme="majorHAnsi" w:hAnsiTheme="majorHAnsi" w:cstheme="majorHAnsi"/>
          <w:b/>
        </w:rPr>
        <w:t xml:space="preserve"> 1:1. </w:t>
      </w:r>
    </w:p>
    <w:p w:rsidR="00B576A4" w:rsidRPr="00DA3638" w:rsidRDefault="002C42F3" w:rsidP="004F49FB">
      <w:pPr>
        <w:spacing w:line="360" w:lineRule="auto"/>
        <w:jc w:val="center"/>
        <w:rPr>
          <w:rFonts w:asciiTheme="majorHAnsi" w:hAnsiTheme="majorHAnsi" w:cstheme="majorHAnsi"/>
        </w:rPr>
      </w:pPr>
      <w:r w:rsidRPr="00DA3638">
        <w:rPr>
          <w:rFonts w:asciiTheme="majorHAnsi" w:hAnsiTheme="majorHAnsi" w:cstheme="majorHAnsi"/>
        </w:rPr>
        <w:t>Movie parameters: full movie length 92568 ms; frame rate 456 ms; full image size 525nm x 619nm. Full color scale 16 nm; full frame size 300x465 pixels; color depth 8bit (256 values).</w:t>
      </w:r>
    </w:p>
    <w:p w:rsidR="00B576A4" w:rsidRPr="00DA3638" w:rsidRDefault="002C42F3" w:rsidP="004F49FB">
      <w:pPr>
        <w:spacing w:line="360" w:lineRule="auto"/>
        <w:jc w:val="center"/>
        <w:rPr>
          <w:rFonts w:asciiTheme="majorHAnsi" w:hAnsiTheme="majorHAnsi" w:cstheme="majorHAnsi"/>
        </w:rPr>
      </w:pPr>
      <w:r w:rsidRPr="00DA3638">
        <w:rPr>
          <w:rFonts w:asciiTheme="majorHAnsi" w:hAnsiTheme="majorHAnsi" w:cstheme="majorHAnsi"/>
        </w:rPr>
        <w:t>Left, topography image. Right, assignment of pixels and populations</w:t>
      </w:r>
      <w:r w:rsidR="00DA3638" w:rsidRPr="00DA3638">
        <w:rPr>
          <w:rFonts w:asciiTheme="majorHAnsi" w:hAnsiTheme="majorHAnsi" w:cstheme="majorHAnsi"/>
        </w:rPr>
        <w:t xml:space="preserve"> </w:t>
      </w:r>
      <w:r w:rsidR="00DA3638">
        <w:rPr>
          <w:rFonts w:asciiTheme="majorHAnsi" w:hAnsiTheme="majorHAnsi" w:cstheme="majorHAnsi"/>
        </w:rPr>
        <w:t xml:space="preserve">by the height </w:t>
      </w:r>
      <w:r w:rsidR="004F49FB">
        <w:rPr>
          <w:rFonts w:asciiTheme="majorHAnsi" w:hAnsiTheme="majorHAnsi" w:cstheme="majorHAnsi"/>
        </w:rPr>
        <w:t xml:space="preserve">value </w:t>
      </w:r>
      <w:r w:rsidR="00DA3638">
        <w:rPr>
          <w:rFonts w:asciiTheme="majorHAnsi" w:hAnsiTheme="majorHAnsi" w:cstheme="majorHAnsi"/>
        </w:rPr>
        <w:t>of the pixel</w:t>
      </w:r>
      <w:r w:rsidR="004F49FB">
        <w:rPr>
          <w:rFonts w:asciiTheme="majorHAnsi" w:hAnsiTheme="majorHAnsi" w:cstheme="majorHAnsi"/>
        </w:rPr>
        <w:t xml:space="preserve"> as follows</w:t>
      </w:r>
      <w:r w:rsidR="00DA3638" w:rsidRPr="00DA3638">
        <w:rPr>
          <w:rFonts w:asciiTheme="majorHAnsi" w:hAnsiTheme="majorHAnsi" w:cstheme="majorHAnsi"/>
        </w:rPr>
        <w:t>:</w:t>
      </w:r>
      <w:r w:rsidRPr="00DA3638">
        <w:rPr>
          <w:rFonts w:asciiTheme="majorHAnsi" w:hAnsiTheme="majorHAnsi" w:cstheme="majorHAnsi"/>
        </w:rPr>
        <w:t xml:space="preserve"> </w:t>
      </w:r>
      <w:r w:rsidRPr="00DA3638">
        <w:rPr>
          <w:rFonts w:asciiTheme="majorHAnsi" w:hAnsiTheme="majorHAnsi" w:cstheme="majorHAnsi"/>
          <w:color w:val="FF0000"/>
        </w:rPr>
        <w:t xml:space="preserve"> </w:t>
      </w:r>
      <w:bookmarkStart w:id="0" w:name="_Hlk9609902"/>
      <w:r w:rsidR="00DA3638" w:rsidRPr="00DA3638">
        <w:rPr>
          <w:rFonts w:asciiTheme="majorHAnsi" w:eastAsia="Calibri" w:hAnsiTheme="majorHAnsi" w:cstheme="majorHAnsi"/>
        </w:rPr>
        <w:t xml:space="preserve">(i) If </w:t>
      </w:r>
      <m:oMath>
        <m:r>
          <w:rPr>
            <w:rFonts w:ascii="Cambria Math" w:eastAsia="Calibri" w:hAnsi="Cambria Math" w:cstheme="majorHAnsi"/>
          </w:rPr>
          <m:t>h∈[0,1]</m:t>
        </m:r>
      </m:oMath>
      <w:r w:rsidR="00DA3638" w:rsidRPr="00DA3638">
        <w:rPr>
          <w:rFonts w:asciiTheme="majorHAnsi" w:eastAsia="Calibri" w:hAnsiTheme="majorHAnsi" w:cstheme="majorHAnsi"/>
        </w:rPr>
        <w:t xml:space="preserve">nm, the pixel was assigned to </w:t>
      </w:r>
      <w:r w:rsidR="00DA3638" w:rsidRPr="00DA3638">
        <w:rPr>
          <w:rFonts w:asciiTheme="majorHAnsi" w:eastAsia="Calibri" w:hAnsiTheme="majorHAnsi" w:cstheme="majorHAnsi"/>
          <w:i/>
        </w:rPr>
        <w:t>free membrane</w:t>
      </w:r>
      <w:r w:rsidR="00DA3638" w:rsidRPr="00DA3638">
        <w:rPr>
          <w:rFonts w:asciiTheme="majorHAnsi" w:eastAsia="Calibri" w:hAnsiTheme="majorHAnsi" w:cstheme="majorHAnsi"/>
        </w:rPr>
        <w:t xml:space="preserve">; (ii) if </w:t>
      </w:r>
      <m:oMath>
        <m:r>
          <w:rPr>
            <w:rFonts w:ascii="Cambria Math" w:eastAsia="Calibri" w:hAnsi="Cambria Math" w:cstheme="majorHAnsi"/>
          </w:rPr>
          <m:t>h∈[7,8]</m:t>
        </m:r>
      </m:oMath>
      <w:r w:rsidR="00DA3638" w:rsidRPr="00DA3638">
        <w:rPr>
          <w:rFonts w:asciiTheme="majorHAnsi" w:eastAsia="Calibri" w:hAnsiTheme="majorHAnsi" w:cstheme="majorHAnsi"/>
        </w:rPr>
        <w:t xml:space="preserve">nm to a </w:t>
      </w:r>
      <w:r w:rsidR="00DA3638" w:rsidRPr="00DA3638">
        <w:rPr>
          <w:rFonts w:asciiTheme="majorHAnsi" w:eastAsia="Calibri" w:hAnsiTheme="majorHAnsi" w:cstheme="majorHAnsi"/>
          <w:i/>
        </w:rPr>
        <w:t>pore</w:t>
      </w:r>
      <w:r w:rsidR="00DA3638" w:rsidRPr="00DA3638">
        <w:rPr>
          <w:rFonts w:asciiTheme="majorHAnsi" w:eastAsia="Calibri" w:hAnsiTheme="majorHAnsi" w:cstheme="majorHAnsi"/>
        </w:rPr>
        <w:t xml:space="preserve">; (iii) if </w:t>
      </w:r>
      <m:oMath>
        <m:r>
          <w:rPr>
            <w:rFonts w:ascii="Cambria Math" w:eastAsia="Calibri" w:hAnsi="Cambria Math" w:cstheme="majorHAnsi"/>
          </w:rPr>
          <m:t>h∈[13,14]</m:t>
        </m:r>
      </m:oMath>
      <w:r w:rsidR="00DA3638" w:rsidRPr="00DA3638">
        <w:rPr>
          <w:rFonts w:asciiTheme="majorHAnsi" w:eastAsia="Calibri" w:hAnsiTheme="majorHAnsi" w:cstheme="majorHAnsi"/>
        </w:rPr>
        <w:t xml:space="preserve">nm to a </w:t>
      </w:r>
      <w:r w:rsidR="00DA3638" w:rsidRPr="00DA3638">
        <w:rPr>
          <w:rFonts w:asciiTheme="majorHAnsi" w:eastAsia="Calibri" w:hAnsiTheme="majorHAnsi" w:cstheme="majorHAnsi"/>
          <w:i/>
        </w:rPr>
        <w:t>prepore</w:t>
      </w:r>
      <w:r w:rsidR="00DA3638" w:rsidRPr="00DA3638">
        <w:rPr>
          <w:rFonts w:asciiTheme="majorHAnsi" w:eastAsia="Calibri" w:hAnsiTheme="majorHAnsi" w:cstheme="majorHAnsi"/>
        </w:rPr>
        <w:t xml:space="preserve">; and (iv) if </w:t>
      </w:r>
      <m:oMath>
        <m:r>
          <w:rPr>
            <w:rFonts w:ascii="Cambria Math" w:eastAsia="Calibri" w:hAnsi="Cambria Math" w:cstheme="majorHAnsi"/>
          </w:rPr>
          <m:t>h∈[13,14]</m:t>
        </m:r>
      </m:oMath>
      <w:r w:rsidR="00DA3638" w:rsidRPr="00DA3638">
        <w:rPr>
          <w:rFonts w:asciiTheme="majorHAnsi" w:eastAsia="Calibri" w:hAnsiTheme="majorHAnsi" w:cstheme="majorHAnsi"/>
        </w:rPr>
        <w:t xml:space="preserve"> </w:t>
      </w:r>
      <w:bookmarkEnd w:id="0"/>
      <w:r w:rsidR="00DA3638" w:rsidRPr="00DA3638">
        <w:rPr>
          <w:rFonts w:asciiTheme="majorHAnsi" w:eastAsia="Calibri" w:hAnsiTheme="majorHAnsi" w:cstheme="majorHAnsi"/>
        </w:rPr>
        <w:t xml:space="preserve">nm to a </w:t>
      </w:r>
      <w:bookmarkStart w:id="1" w:name="_Hlk9345090"/>
      <w:r w:rsidR="00DA3638" w:rsidRPr="00DA3638">
        <w:rPr>
          <w:rFonts w:asciiTheme="majorHAnsi" w:eastAsia="Calibri" w:hAnsiTheme="majorHAnsi" w:cstheme="majorHAnsi"/>
          <w:i/>
          <w:color w:val="000000"/>
          <w:lang w:val="en-US"/>
        </w:rPr>
        <w:t xml:space="preserve">non-bound </w:t>
      </w:r>
      <w:bookmarkEnd w:id="1"/>
      <w:r w:rsidR="00DA3638" w:rsidRPr="00DA3638">
        <w:rPr>
          <w:rFonts w:asciiTheme="majorHAnsi" w:eastAsia="Calibri" w:hAnsiTheme="majorHAnsi" w:cstheme="majorHAnsi"/>
          <w:i/>
          <w:color w:val="000000"/>
          <w:lang w:val="en-US"/>
        </w:rPr>
        <w:t>monomer</w:t>
      </w:r>
      <w:r w:rsidR="004F49FB">
        <w:rPr>
          <w:rFonts w:asciiTheme="majorHAnsi" w:eastAsia="Calibri" w:hAnsiTheme="majorHAnsi" w:cstheme="majorHAnsi"/>
          <w:i/>
          <w:color w:val="000000"/>
          <w:lang w:val="en-US"/>
        </w:rPr>
        <w:t>.</w:t>
      </w:r>
    </w:p>
    <w:p w:rsidR="00B576A4" w:rsidRPr="00DA3638" w:rsidRDefault="00B576A4" w:rsidP="00DA3638">
      <w:pPr>
        <w:spacing w:line="360" w:lineRule="auto"/>
        <w:rPr>
          <w:rFonts w:asciiTheme="majorHAnsi" w:hAnsiTheme="majorHAnsi" w:cstheme="majorHAnsi"/>
        </w:rPr>
      </w:pPr>
    </w:p>
    <w:p w:rsidR="00B576A4" w:rsidRPr="00DA3638" w:rsidRDefault="00B576A4" w:rsidP="00DA3638">
      <w:pPr>
        <w:spacing w:line="360" w:lineRule="auto"/>
        <w:rPr>
          <w:rFonts w:asciiTheme="majorHAnsi" w:hAnsiTheme="majorHAnsi" w:cstheme="majorHAnsi"/>
        </w:rPr>
      </w:pPr>
    </w:p>
    <w:p w:rsidR="00B576A4" w:rsidRPr="00DA3638" w:rsidRDefault="00B576A4" w:rsidP="00DA3638">
      <w:pPr>
        <w:spacing w:line="360" w:lineRule="auto"/>
        <w:rPr>
          <w:rFonts w:asciiTheme="majorHAnsi" w:hAnsiTheme="majorHAnsi" w:cstheme="majorHAnsi"/>
        </w:rPr>
      </w:pPr>
    </w:p>
    <w:p w:rsidR="00B576A4" w:rsidRPr="00DA3638" w:rsidRDefault="00B576A4" w:rsidP="00DA3638">
      <w:pPr>
        <w:spacing w:line="360" w:lineRule="auto"/>
        <w:rPr>
          <w:rFonts w:asciiTheme="majorHAnsi" w:hAnsiTheme="majorHAnsi" w:cstheme="majorHAnsi"/>
        </w:rPr>
      </w:pPr>
    </w:p>
    <w:p w:rsidR="00B576A4" w:rsidRPr="00DA3638" w:rsidRDefault="00B576A4" w:rsidP="00DA3638">
      <w:pPr>
        <w:spacing w:line="360" w:lineRule="auto"/>
        <w:rPr>
          <w:rFonts w:asciiTheme="majorHAnsi" w:hAnsiTheme="majorHAnsi" w:cstheme="majorHAnsi"/>
        </w:rPr>
      </w:pPr>
    </w:p>
    <w:p w:rsidR="00B576A4" w:rsidRPr="00DA3638" w:rsidRDefault="002C42F3" w:rsidP="00DA3638">
      <w:pPr>
        <w:spacing w:line="360" w:lineRule="auto"/>
        <w:jc w:val="center"/>
        <w:rPr>
          <w:rFonts w:asciiTheme="majorHAnsi" w:hAnsiTheme="majorHAnsi" w:cstheme="majorHAnsi"/>
          <w:b/>
        </w:rPr>
      </w:pPr>
      <w:r w:rsidRPr="00DA3638">
        <w:rPr>
          <w:rFonts w:asciiTheme="majorHAnsi" w:hAnsiTheme="majorHAnsi" w:cstheme="majorHAnsi"/>
          <w:b/>
        </w:rPr>
        <w:t>Supplementary Movie 2:</w:t>
      </w:r>
    </w:p>
    <w:p w:rsidR="004F49FB" w:rsidRDefault="000A0576" w:rsidP="004F49FB">
      <w:pPr>
        <w:spacing w:line="360" w:lineRule="auto"/>
        <w:jc w:val="center"/>
        <w:rPr>
          <w:rFonts w:asciiTheme="majorHAnsi" w:hAnsiTheme="majorHAnsi" w:cstheme="majorHAnsi"/>
          <w:b/>
        </w:rPr>
      </w:pPr>
      <w:r>
        <w:rPr>
          <w:rFonts w:asciiTheme="majorHAnsi" w:hAnsiTheme="majorHAnsi" w:cstheme="majorHAnsi"/>
          <w:b/>
        </w:rPr>
        <w:t>Prepore-</w:t>
      </w:r>
      <w:r w:rsidR="002C42F3" w:rsidRPr="004F49FB">
        <w:rPr>
          <w:rFonts w:asciiTheme="majorHAnsi" w:hAnsiTheme="majorHAnsi" w:cstheme="majorHAnsi"/>
          <w:b/>
        </w:rPr>
        <w:t>to</w:t>
      </w:r>
      <w:r>
        <w:rPr>
          <w:rFonts w:asciiTheme="majorHAnsi" w:hAnsiTheme="majorHAnsi" w:cstheme="majorHAnsi"/>
          <w:b/>
        </w:rPr>
        <w:t>-</w:t>
      </w:r>
      <w:r w:rsidR="002C42F3" w:rsidRPr="004F49FB">
        <w:rPr>
          <w:rFonts w:asciiTheme="majorHAnsi" w:hAnsiTheme="majorHAnsi" w:cstheme="majorHAnsi"/>
          <w:b/>
        </w:rPr>
        <w:t>pore transition</w:t>
      </w:r>
      <w:r>
        <w:rPr>
          <w:rFonts w:asciiTheme="majorHAnsi" w:hAnsiTheme="majorHAnsi" w:cstheme="majorHAnsi"/>
          <w:b/>
        </w:rPr>
        <w:t xml:space="preserve"> induce by</w:t>
      </w:r>
      <w:r w:rsidR="002C42F3" w:rsidRPr="004F49FB">
        <w:rPr>
          <w:rFonts w:asciiTheme="majorHAnsi" w:hAnsiTheme="majorHAnsi" w:cstheme="majorHAnsi"/>
          <w:b/>
        </w:rPr>
        <w:t xml:space="preserve"> acidification of the bathing solution on membrane patch fully imaged with individual lysenin oligomer resolution sheds light on the differences of area of occupancy of the prepore state and at the pore state of the oligomers.</w:t>
      </w:r>
      <w:r w:rsidR="002C42F3">
        <w:rPr>
          <w:rFonts w:asciiTheme="majorHAnsi" w:hAnsiTheme="majorHAnsi" w:cstheme="majorHAnsi"/>
          <w:b/>
        </w:rPr>
        <w:t xml:space="preserve"> </w:t>
      </w:r>
    </w:p>
    <w:p w:rsidR="00B576A4" w:rsidRPr="00DA3638" w:rsidRDefault="002C42F3" w:rsidP="004F49FB">
      <w:pPr>
        <w:spacing w:line="360" w:lineRule="auto"/>
        <w:jc w:val="center"/>
        <w:rPr>
          <w:rFonts w:asciiTheme="majorHAnsi" w:hAnsiTheme="majorHAnsi" w:cstheme="majorHAnsi"/>
        </w:rPr>
      </w:pPr>
      <w:r>
        <w:rPr>
          <w:rFonts w:asciiTheme="majorHAnsi" w:hAnsiTheme="majorHAnsi" w:cstheme="majorHAnsi"/>
        </w:rPr>
        <w:t>SLB</w:t>
      </w:r>
      <w:r w:rsidRPr="00DA3638">
        <w:rPr>
          <w:rFonts w:asciiTheme="majorHAnsi" w:hAnsiTheme="majorHAnsi" w:cstheme="majorHAnsi"/>
        </w:rPr>
        <w:t xml:space="preserve"> </w:t>
      </w:r>
      <w:r>
        <w:rPr>
          <w:rFonts w:asciiTheme="majorHAnsi" w:hAnsiTheme="majorHAnsi" w:cstheme="majorHAnsi"/>
        </w:rPr>
        <w:t xml:space="preserve">composed of </w:t>
      </w:r>
      <w:r w:rsidR="00E75437">
        <w:rPr>
          <w:rFonts w:asciiTheme="majorHAnsi" w:hAnsiTheme="majorHAnsi" w:cstheme="majorHAnsi"/>
        </w:rPr>
        <w:t>SM/Chol</w:t>
      </w:r>
      <w:r w:rsidRPr="00DA3638">
        <w:rPr>
          <w:rFonts w:asciiTheme="majorHAnsi" w:hAnsiTheme="majorHAnsi" w:cstheme="majorHAnsi"/>
        </w:rPr>
        <w:t xml:space="preserve"> 1:1.</w:t>
      </w:r>
      <w:r>
        <w:rPr>
          <w:rFonts w:asciiTheme="majorHAnsi" w:hAnsiTheme="majorHAnsi" w:cstheme="majorHAnsi"/>
        </w:rPr>
        <w:t xml:space="preserve"> </w:t>
      </w:r>
      <w:r w:rsidRPr="00DA3638">
        <w:rPr>
          <w:rFonts w:asciiTheme="majorHAnsi" w:hAnsiTheme="majorHAnsi" w:cstheme="majorHAnsi"/>
        </w:rPr>
        <w:t>pH decrease from 7.5 to 5.2</w:t>
      </w:r>
      <w:r>
        <w:rPr>
          <w:rFonts w:asciiTheme="majorHAnsi" w:hAnsiTheme="majorHAnsi" w:cstheme="majorHAnsi"/>
        </w:rPr>
        <w:t xml:space="preserve">. </w:t>
      </w:r>
      <w:r w:rsidRPr="00DA3638">
        <w:rPr>
          <w:rFonts w:asciiTheme="majorHAnsi" w:hAnsiTheme="majorHAnsi" w:cstheme="majorHAnsi"/>
        </w:rPr>
        <w:t>Movie parameters: full movie length 24min; frame rate 720ms; full image size 460nm x 460nm. Full-color scale 16 nm; full frame size 287x265 pixels; color depth 8bit (256 values).</w:t>
      </w:r>
      <w:r>
        <w:rPr>
          <w:rFonts w:asciiTheme="majorHAnsi" w:hAnsiTheme="majorHAnsi" w:cstheme="majorHAnsi"/>
        </w:rPr>
        <w:t xml:space="preserve"> </w:t>
      </w:r>
    </w:p>
    <w:p w:rsidR="00B576A4" w:rsidRPr="00DA3638" w:rsidRDefault="00B576A4" w:rsidP="00DA3638">
      <w:pPr>
        <w:spacing w:line="360" w:lineRule="auto"/>
        <w:jc w:val="center"/>
        <w:rPr>
          <w:rFonts w:asciiTheme="majorHAnsi" w:hAnsiTheme="majorHAnsi" w:cstheme="majorHAnsi"/>
          <w:b/>
        </w:rPr>
      </w:pPr>
    </w:p>
    <w:p w:rsidR="00701802" w:rsidRDefault="002C42F3" w:rsidP="00DA3638">
      <w:pPr>
        <w:pStyle w:val="EndNoteBibliography"/>
        <w:spacing w:line="360" w:lineRule="auto"/>
        <w:rPr>
          <w:rFonts w:asciiTheme="majorHAnsi" w:hAnsiTheme="majorHAnsi" w:cstheme="majorHAnsi"/>
        </w:rPr>
      </w:pPr>
      <w:r>
        <w:rPr>
          <w:rFonts w:asciiTheme="majorHAnsi" w:hAnsiTheme="majorHAnsi" w:cstheme="maj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1E1CC7" w:rsidTr="00701802">
        <w:tc>
          <w:tcPr>
            <w:tcW w:w="9062" w:type="dxa"/>
          </w:tcPr>
          <w:p w:rsidR="00B576A4" w:rsidRPr="00DA3638" w:rsidRDefault="002C42F3" w:rsidP="00DA3638">
            <w:pPr>
              <w:pStyle w:val="EndNoteBibliography"/>
              <w:spacing w:line="360" w:lineRule="auto"/>
              <w:rPr>
                <w:rFonts w:asciiTheme="majorHAnsi" w:hAnsiTheme="majorHAnsi" w:cstheme="majorHAnsi"/>
              </w:rPr>
            </w:pPr>
            <w:r w:rsidRPr="00DA3638">
              <w:rPr>
                <w:rFonts w:asciiTheme="majorHAnsi" w:hAnsiTheme="majorHAnsi" w:cstheme="majorHAnsi"/>
                <w:noProof/>
                <w:lang w:val="es-ES" w:eastAsia="es-ES"/>
              </w:rPr>
              <w:lastRenderedPageBreak/>
              <w:drawing>
                <wp:inline distT="0" distB="0" distL="0" distR="0">
                  <wp:extent cx="5340559" cy="4359018"/>
                  <wp:effectExtent l="0" t="0" r="0" b="0"/>
                  <wp:docPr id="5" name="Imagen 4">
                    <a:extLst xmlns:a="http://schemas.openxmlformats.org/drawingml/2006/main">
                      <a:ext uri="{FF2B5EF4-FFF2-40B4-BE49-F238E27FC236}">
                        <a16:creationId xmlns:a16="http://schemas.microsoft.com/office/drawing/2014/main"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3D6A3F-C93E-474C-9F16-B8D1B8E24B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89241" name="Imagen 4">
                            <a:extLst>
                              <a:ext uri="{FF2B5EF4-FFF2-40B4-BE49-F238E27FC236}">
                                <a16:creationId xmlns:a16="http://schemas.microsoft.com/office/drawing/2014/main"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3D6A3F-C93E-474C-9F16-B8D1B8E24BA2}"/>
                              </a:ext>
                            </a:extLst>
                          </pic:cNvPr>
                          <pic:cNvPicPr>
                            <a:picLocks noChangeAspect="1"/>
                          </pic:cNvPicPr>
                        </pic:nvPicPr>
                        <pic:blipFill>
                          <a:blip r:embed="rId7"/>
                          <a:stretch>
                            <a:fillRect/>
                          </a:stretch>
                        </pic:blipFill>
                        <pic:spPr>
                          <a:xfrm>
                            <a:off x="0" y="0"/>
                            <a:ext cx="5340559" cy="4359018"/>
                          </a:xfrm>
                          <a:prstGeom prst="rect">
                            <a:avLst/>
                          </a:prstGeom>
                        </pic:spPr>
                      </pic:pic>
                    </a:graphicData>
                  </a:graphic>
                </wp:inline>
              </w:drawing>
            </w:r>
          </w:p>
        </w:tc>
      </w:tr>
      <w:tr w:rsidR="001E1CC7" w:rsidTr="00701802">
        <w:tc>
          <w:tcPr>
            <w:tcW w:w="9062" w:type="dxa"/>
          </w:tcPr>
          <w:p w:rsidR="00B576A4" w:rsidRPr="00DA3638" w:rsidRDefault="002C42F3" w:rsidP="00DA3638">
            <w:pPr>
              <w:spacing w:line="360" w:lineRule="auto"/>
              <w:jc w:val="both"/>
              <w:rPr>
                <w:rFonts w:asciiTheme="majorHAnsi" w:hAnsiTheme="majorHAnsi" w:cstheme="majorHAnsi"/>
              </w:rPr>
            </w:pPr>
            <w:r w:rsidRPr="00DA3638">
              <w:rPr>
                <w:rFonts w:asciiTheme="majorHAnsi" w:hAnsiTheme="majorHAnsi" w:cstheme="majorHAnsi"/>
                <w:b/>
              </w:rPr>
              <w:t>Supplementary Figure S1</w:t>
            </w:r>
            <w:r w:rsidR="000A7D4E">
              <w:rPr>
                <w:rFonts w:asciiTheme="majorHAnsi" w:hAnsiTheme="majorHAnsi" w:cstheme="majorHAnsi"/>
                <w:b/>
              </w:rPr>
              <w:t xml:space="preserve">. </w:t>
            </w:r>
            <w:r w:rsidR="000A7D4E" w:rsidRPr="000A7D4E">
              <w:rPr>
                <w:rFonts w:asciiTheme="majorHAnsi" w:hAnsiTheme="majorHAnsi" w:cstheme="majorHAnsi"/>
                <w:b/>
              </w:rPr>
              <w:t>Final state of the lysenin oligomerization on non-supported SLBs</w:t>
            </w:r>
            <w:r w:rsidR="000A7D4E">
              <w:rPr>
                <w:rFonts w:asciiTheme="majorHAnsi" w:hAnsiTheme="majorHAnsi" w:cstheme="majorHAnsi"/>
                <w:b/>
              </w:rPr>
              <w:t xml:space="preserve"> of</w:t>
            </w:r>
            <w:r w:rsidRPr="00DA3638">
              <w:rPr>
                <w:rFonts w:asciiTheme="majorHAnsi" w:hAnsiTheme="majorHAnsi" w:cstheme="majorHAnsi"/>
                <w:b/>
              </w:rPr>
              <w:t xml:space="preserve"> </w:t>
            </w:r>
            <w:r w:rsidR="00E75437">
              <w:rPr>
                <w:rFonts w:asciiTheme="majorHAnsi" w:hAnsiTheme="majorHAnsi" w:cstheme="majorHAnsi"/>
                <w:b/>
              </w:rPr>
              <w:t>SM/Chol</w:t>
            </w:r>
            <w:r w:rsidRPr="00DA3638">
              <w:rPr>
                <w:rFonts w:asciiTheme="majorHAnsi" w:hAnsiTheme="majorHAnsi" w:cstheme="majorHAnsi"/>
                <w:b/>
              </w:rPr>
              <w:t xml:space="preserve"> 1:1 over 300nm nanowells. a</w:t>
            </w:r>
            <w:r w:rsidR="000A7D4E">
              <w:rPr>
                <w:rFonts w:asciiTheme="majorHAnsi" w:hAnsiTheme="majorHAnsi" w:cstheme="majorHAnsi"/>
                <w:b/>
              </w:rPr>
              <w:t>)</w:t>
            </w:r>
            <w:r w:rsidRPr="00DA3638">
              <w:rPr>
                <w:rFonts w:asciiTheme="majorHAnsi" w:hAnsiTheme="majorHAnsi" w:cstheme="majorHAnsi"/>
              </w:rPr>
              <w:t xml:space="preserve"> An </w:t>
            </w:r>
            <w:r w:rsidR="00E75437">
              <w:rPr>
                <w:rFonts w:asciiTheme="majorHAnsi" w:hAnsiTheme="majorHAnsi" w:cstheme="majorHAnsi"/>
              </w:rPr>
              <w:t>SM/Chol</w:t>
            </w:r>
            <w:r w:rsidRPr="00DA3638">
              <w:rPr>
                <w:rFonts w:asciiTheme="majorHAnsi" w:hAnsiTheme="majorHAnsi" w:cstheme="majorHAnsi"/>
              </w:rPr>
              <w:t xml:space="preserve"> 1:1 membrane after </w:t>
            </w:r>
            <w:bookmarkStart w:id="2" w:name="_Hlk529787946"/>
            <w:r w:rsidRPr="00DA3638">
              <w:rPr>
                <w:rFonts w:asciiTheme="majorHAnsi" w:hAnsiTheme="majorHAnsi" w:cstheme="majorHAnsi"/>
              </w:rPr>
              <w:t>5.6 µM lysenin incubation</w:t>
            </w:r>
            <w:bookmarkEnd w:id="2"/>
            <w:r w:rsidRPr="00DA3638">
              <w:rPr>
                <w:rFonts w:asciiTheme="majorHAnsi" w:hAnsiTheme="majorHAnsi" w:cstheme="majorHAnsi"/>
              </w:rPr>
              <w:t xml:space="preserve">. The zone of the membranes spanned over the nanowell is the zone inside the white circle. The inset is an image of the </w:t>
            </w:r>
            <w:r w:rsidR="00E75437">
              <w:rPr>
                <w:rFonts w:asciiTheme="majorHAnsi" w:hAnsiTheme="majorHAnsi" w:cstheme="majorHAnsi"/>
              </w:rPr>
              <w:t>SM/Chol</w:t>
            </w:r>
            <w:r w:rsidRPr="00DA3638">
              <w:rPr>
                <w:rFonts w:asciiTheme="majorHAnsi" w:hAnsiTheme="majorHAnsi" w:cstheme="majorHAnsi"/>
              </w:rPr>
              <w:t xml:space="preserve"> 1:1 membrane spanning over the nanowells before incubation. </w:t>
            </w:r>
            <w:r w:rsidR="000A7D4E" w:rsidRPr="000A7D4E">
              <w:rPr>
                <w:rFonts w:asciiTheme="majorHAnsi" w:hAnsiTheme="majorHAnsi" w:cstheme="majorHAnsi"/>
                <w:b/>
              </w:rPr>
              <w:t>b</w:t>
            </w:r>
            <w:r w:rsidR="000A7D4E">
              <w:rPr>
                <w:rFonts w:asciiTheme="majorHAnsi" w:hAnsiTheme="majorHAnsi" w:cstheme="majorHAnsi"/>
                <w:b/>
              </w:rPr>
              <w:t>)</w:t>
            </w:r>
            <w:r w:rsidRPr="00DA3638">
              <w:rPr>
                <w:rFonts w:asciiTheme="majorHAnsi" w:hAnsiTheme="majorHAnsi" w:cstheme="majorHAnsi"/>
              </w:rPr>
              <w:t xml:space="preserve"> </w:t>
            </w:r>
            <w:r w:rsidR="000A7D4E">
              <w:rPr>
                <w:rFonts w:asciiTheme="majorHAnsi" w:hAnsiTheme="majorHAnsi" w:cstheme="majorHAnsi"/>
              </w:rPr>
              <w:t>C</w:t>
            </w:r>
            <w:r w:rsidRPr="00DA3638">
              <w:rPr>
                <w:rFonts w:asciiTheme="majorHAnsi" w:hAnsiTheme="majorHAnsi" w:cstheme="majorHAnsi"/>
              </w:rPr>
              <w:t xml:space="preserve">lose-up of the spanned membrane on an area where the lysenin oligomers are visible. </w:t>
            </w:r>
            <w:r w:rsidR="000A7D4E" w:rsidRPr="000A7D4E">
              <w:rPr>
                <w:rFonts w:asciiTheme="majorHAnsi" w:hAnsiTheme="majorHAnsi" w:cstheme="majorHAnsi"/>
                <w:b/>
              </w:rPr>
              <w:t>c</w:t>
            </w:r>
            <w:r w:rsidR="000A7D4E">
              <w:rPr>
                <w:rFonts w:asciiTheme="majorHAnsi" w:hAnsiTheme="majorHAnsi" w:cstheme="majorHAnsi"/>
                <w:b/>
              </w:rPr>
              <w:t>)</w:t>
            </w:r>
            <w:r w:rsidRPr="00DA3638">
              <w:rPr>
                <w:rFonts w:asciiTheme="majorHAnsi" w:hAnsiTheme="majorHAnsi" w:cstheme="majorHAnsi"/>
              </w:rPr>
              <w:t xml:space="preserve"> </w:t>
            </w:r>
            <w:r w:rsidR="000A7D4E">
              <w:rPr>
                <w:rFonts w:asciiTheme="majorHAnsi" w:hAnsiTheme="majorHAnsi" w:cstheme="majorHAnsi"/>
              </w:rPr>
              <w:t>O</w:t>
            </w:r>
            <w:r w:rsidRPr="00DA3638">
              <w:rPr>
                <w:rFonts w:asciiTheme="majorHAnsi" w:hAnsiTheme="majorHAnsi" w:cstheme="majorHAnsi"/>
              </w:rPr>
              <w:t xml:space="preserve">ligomers representation with the count of prepores and pores, and the percentage of prepores. </w:t>
            </w:r>
            <w:r w:rsidR="00712F68" w:rsidRPr="00712F68">
              <w:rPr>
                <w:rFonts w:asciiTheme="majorHAnsi" w:hAnsiTheme="majorHAnsi" w:cstheme="majorHAnsi"/>
                <w:b/>
              </w:rPr>
              <w:t>d</w:t>
            </w:r>
            <w:r w:rsidR="00712F68">
              <w:rPr>
                <w:rFonts w:asciiTheme="majorHAnsi" w:hAnsiTheme="majorHAnsi" w:cstheme="majorHAnsi"/>
                <w:b/>
              </w:rPr>
              <w:t>)</w:t>
            </w:r>
            <w:r w:rsidRPr="00DA3638">
              <w:rPr>
                <w:rFonts w:asciiTheme="majorHAnsi" w:hAnsiTheme="majorHAnsi" w:cstheme="majorHAnsi"/>
              </w:rPr>
              <w:t xml:space="preserve"> </w:t>
            </w:r>
            <w:r w:rsidR="00712F68">
              <w:rPr>
                <w:rFonts w:asciiTheme="majorHAnsi" w:hAnsiTheme="majorHAnsi" w:cstheme="majorHAnsi"/>
              </w:rPr>
              <w:t>P</w:t>
            </w:r>
            <w:r w:rsidRPr="00DA3638">
              <w:rPr>
                <w:rFonts w:asciiTheme="majorHAnsi" w:hAnsiTheme="majorHAnsi" w:cstheme="majorHAnsi"/>
              </w:rPr>
              <w:t>rofile along the slashed line showing the identification of the oligomer prepore or pore state according to its height.</w:t>
            </w:r>
            <w:r w:rsidR="007F0A06" w:rsidRPr="00DA3638">
              <w:rPr>
                <w:rFonts w:asciiTheme="majorHAnsi" w:hAnsiTheme="majorHAnsi" w:cstheme="majorHAnsi"/>
              </w:rPr>
              <w:t xml:space="preserve"> </w:t>
            </w:r>
            <w:r w:rsidR="00712F68">
              <w:rPr>
                <w:rFonts w:asciiTheme="majorHAnsi" w:hAnsiTheme="majorHAnsi" w:cstheme="majorHAnsi"/>
              </w:rPr>
              <w:t>Please</w:t>
            </w:r>
            <w:r w:rsidR="007F0A06" w:rsidRPr="00DA3638">
              <w:rPr>
                <w:rFonts w:asciiTheme="majorHAnsi" w:hAnsiTheme="majorHAnsi" w:cstheme="majorHAnsi"/>
              </w:rPr>
              <w:t xml:space="preserve"> note that the oligomer most to the right </w:t>
            </w:r>
            <w:r w:rsidR="00712F68" w:rsidRPr="00DA3638">
              <w:rPr>
                <w:rFonts w:asciiTheme="majorHAnsi" w:hAnsiTheme="majorHAnsi" w:cstheme="majorHAnsi"/>
              </w:rPr>
              <w:t xml:space="preserve">would be incomplete </w:t>
            </w:r>
            <w:r w:rsidR="00712F68">
              <w:rPr>
                <w:rFonts w:asciiTheme="majorHAnsi" w:hAnsiTheme="majorHAnsi" w:cstheme="majorHAnsi"/>
              </w:rPr>
              <w:t>in its oligomerization, i.e., formed by l</w:t>
            </w:r>
            <w:r w:rsidR="00712F68" w:rsidRPr="00DA3638">
              <w:rPr>
                <w:rFonts w:asciiTheme="majorHAnsi" w:hAnsiTheme="majorHAnsi" w:cstheme="majorHAnsi"/>
              </w:rPr>
              <w:t>ess than nine monomers,</w:t>
            </w:r>
            <w:r w:rsidR="00712F68">
              <w:rPr>
                <w:rFonts w:asciiTheme="majorHAnsi" w:hAnsiTheme="majorHAnsi" w:cstheme="majorHAnsi"/>
              </w:rPr>
              <w:t xml:space="preserve"> even if it </w:t>
            </w:r>
            <w:r w:rsidR="007F0A06" w:rsidRPr="00DA3638">
              <w:rPr>
                <w:rFonts w:asciiTheme="majorHAnsi" w:hAnsiTheme="majorHAnsi" w:cstheme="majorHAnsi"/>
              </w:rPr>
              <w:t>presents a height signature of prepore and we represent this circumstance by an incomplete circle.</w:t>
            </w:r>
            <w:r w:rsidR="00E55709" w:rsidRPr="00DA3638">
              <w:rPr>
                <w:rFonts w:asciiTheme="majorHAnsi" w:hAnsiTheme="majorHAnsi" w:cstheme="majorHAnsi"/>
              </w:rPr>
              <w:t xml:space="preserve"> </w:t>
            </w:r>
          </w:p>
        </w:tc>
      </w:tr>
    </w:tbl>
    <w:p w:rsidR="00B576A4" w:rsidRDefault="00B576A4" w:rsidP="00DA3638">
      <w:pPr>
        <w:pStyle w:val="EndNoteBibliography"/>
        <w:spacing w:line="360" w:lineRule="auto"/>
        <w:rPr>
          <w:rFonts w:asciiTheme="majorHAnsi" w:hAnsiTheme="majorHAnsi" w:cstheme="majorHAnsi"/>
        </w:rPr>
      </w:pPr>
    </w:p>
    <w:p w:rsidR="000232BF" w:rsidRDefault="000232BF" w:rsidP="00DA3638">
      <w:pPr>
        <w:pStyle w:val="EndNoteBibliography"/>
        <w:spacing w:line="360" w:lineRule="auto"/>
        <w:rPr>
          <w:rFonts w:asciiTheme="majorHAnsi" w:hAnsiTheme="majorHAnsi" w:cstheme="majorHAnsi"/>
        </w:rPr>
      </w:pPr>
    </w:p>
    <w:tbl>
      <w:tblPr>
        <w:tblStyle w:val="TableGrid"/>
        <w:tblpPr w:leftFromText="180" w:rightFromText="180" w:vertAnchor="text" w:horzAnchor="margin" w:tblpY="-1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2"/>
      </w:tblGrid>
      <w:tr w:rsidR="00D23668" w:rsidRPr="00195ECA" w:rsidTr="004F08AD">
        <w:tc>
          <w:tcPr>
            <w:tcW w:w="8502" w:type="dxa"/>
            <w:hideMark/>
          </w:tcPr>
          <w:p w:rsidR="00D23668" w:rsidRDefault="00D23668" w:rsidP="004F08AD">
            <w:pPr>
              <w:jc w:val="both"/>
              <w:rPr>
                <w:rFonts w:asciiTheme="majorHAnsi" w:hAnsiTheme="majorHAnsi"/>
                <w:sz w:val="20"/>
                <w:szCs w:val="20"/>
              </w:rPr>
            </w:pPr>
          </w:p>
          <w:p w:rsidR="00D23668" w:rsidRDefault="00D23668" w:rsidP="004F08AD">
            <w:pPr>
              <w:jc w:val="both"/>
              <w:rPr>
                <w:rFonts w:asciiTheme="majorHAnsi" w:hAnsiTheme="majorHAnsi"/>
                <w:sz w:val="20"/>
                <w:szCs w:val="20"/>
              </w:rPr>
            </w:pPr>
          </w:p>
          <w:tbl>
            <w:tblPr>
              <w:tblStyle w:val="TableGrid"/>
              <w:tblpPr w:leftFromText="141" w:rightFromText="141" w:vertAnchor="text" w:horzAnchor="margin" w:tblpY="3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6"/>
            </w:tblGrid>
            <w:tr w:rsidR="00D23668" w:rsidTr="004F08AD">
              <w:tc>
                <w:tcPr>
                  <w:tcW w:w="8286" w:type="dxa"/>
                  <w:vAlign w:val="center"/>
                  <w:hideMark/>
                </w:tcPr>
                <w:p w:rsidR="00D23668" w:rsidRDefault="00D23668" w:rsidP="004F08AD">
                  <w:pPr>
                    <w:widowControl/>
                    <w:suppressAutoHyphens w:val="0"/>
                    <w:autoSpaceDE w:val="0"/>
                    <w:autoSpaceDN w:val="0"/>
                    <w:adjustRightInd w:val="0"/>
                    <w:spacing w:before="240" w:after="240"/>
                    <w:ind w:right="-126"/>
                    <w:jc w:val="center"/>
                    <w:rPr>
                      <w:rFonts w:ascii="Palatino Linotype" w:hAnsi="Palatino Linotype"/>
                    </w:rPr>
                  </w:pPr>
                  <w:r w:rsidRPr="006F5FB6">
                    <w:rPr>
                      <w:rFonts w:ascii="Palatino Linotype" w:hAnsi="Palatino Linotype"/>
                      <w:noProof/>
                      <w:lang w:val="es-ES" w:eastAsia="es-ES"/>
                    </w:rPr>
                    <w:drawing>
                      <wp:inline distT="0" distB="0" distL="0" distR="0" wp14:anchorId="41D6F499" wp14:editId="6E72754F">
                        <wp:extent cx="5120640" cy="2158163"/>
                        <wp:effectExtent l="0" t="0" r="3810" b="0"/>
                        <wp:docPr id="8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6"/>
                                <pic:cNvPicPr>
                                  <a:picLocks noChangeAspect="1"/>
                                </pic:cNvPicPr>
                              </pic:nvPicPr>
                              <pic:blipFill>
                                <a:blip r:embed="rId8"/>
                                <a:stretch>
                                  <a:fillRect/>
                                </a:stretch>
                              </pic:blipFill>
                              <pic:spPr>
                                <a:xfrm>
                                  <a:off x="0" y="0"/>
                                  <a:ext cx="5133087" cy="2163409"/>
                                </a:xfrm>
                                <a:prstGeom prst="rect">
                                  <a:avLst/>
                                </a:prstGeom>
                              </pic:spPr>
                            </pic:pic>
                          </a:graphicData>
                        </a:graphic>
                      </wp:inline>
                    </w:drawing>
                  </w:r>
                </w:p>
              </w:tc>
            </w:tr>
            <w:tr w:rsidR="00D23668" w:rsidTr="004F08AD">
              <w:tc>
                <w:tcPr>
                  <w:tcW w:w="8286" w:type="dxa"/>
                  <w:hideMark/>
                </w:tcPr>
                <w:p w:rsidR="00D23668" w:rsidRPr="00093BBE" w:rsidRDefault="00D23668" w:rsidP="004F08AD">
                  <w:pPr>
                    <w:widowControl/>
                    <w:suppressAutoHyphens w:val="0"/>
                    <w:autoSpaceDE w:val="0"/>
                    <w:autoSpaceDN w:val="0"/>
                    <w:adjustRightInd w:val="0"/>
                    <w:spacing w:before="240" w:after="240"/>
                    <w:jc w:val="both"/>
                    <w:rPr>
                      <w:rFonts w:asciiTheme="majorHAnsi" w:hAnsiTheme="majorHAnsi"/>
                    </w:rPr>
                  </w:pPr>
                  <w:r w:rsidRPr="00AC6CA1">
                    <w:rPr>
                      <w:rFonts w:asciiTheme="majorHAnsi" w:hAnsiTheme="majorHAnsi"/>
                      <w:b/>
                    </w:rPr>
                    <w:t>Supplementary Figure S</w:t>
                  </w:r>
                  <w:r>
                    <w:rPr>
                      <w:rFonts w:asciiTheme="majorHAnsi" w:hAnsiTheme="majorHAnsi"/>
                      <w:b/>
                    </w:rPr>
                    <w:t>2</w:t>
                  </w:r>
                  <w:r w:rsidRPr="00AC6CA1">
                    <w:rPr>
                      <w:rFonts w:asciiTheme="majorHAnsi" w:hAnsiTheme="majorHAnsi"/>
                      <w:b/>
                    </w:rPr>
                    <w:t>)</w:t>
                  </w:r>
                  <w:r>
                    <w:rPr>
                      <w:rFonts w:asciiTheme="majorHAnsi" w:hAnsiTheme="majorHAnsi"/>
                      <w:b/>
                    </w:rPr>
                    <w:t xml:space="preserve"> </w:t>
                  </w:r>
                  <w:r w:rsidR="009B1AD3">
                    <w:rPr>
                      <w:rFonts w:asciiTheme="majorHAnsi" w:hAnsiTheme="majorHAnsi"/>
                      <w:b/>
                    </w:rPr>
                    <w:t>Lipid extraction at the prepore-to-</w:t>
                  </w:r>
                  <w:bookmarkStart w:id="3" w:name="_GoBack"/>
                  <w:bookmarkEnd w:id="3"/>
                  <w:r>
                    <w:rPr>
                      <w:rFonts w:asciiTheme="majorHAnsi" w:hAnsiTheme="majorHAnsi"/>
                      <w:b/>
                    </w:rPr>
                    <w:t>pore transition. a left</w:t>
                  </w:r>
                  <w:r>
                    <w:rPr>
                      <w:rFonts w:asciiTheme="majorHAnsi" w:hAnsiTheme="majorHAnsi"/>
                    </w:rPr>
                    <w:t>,</w:t>
                  </w:r>
                  <w:r w:rsidRPr="006F5FB6">
                    <w:rPr>
                      <w:rFonts w:asciiTheme="majorHAnsi" w:hAnsiTheme="majorHAnsi"/>
                    </w:rPr>
                    <w:t xml:space="preserve"> image of the</w:t>
                  </w:r>
                  <w:r w:rsidRPr="00E74AA5">
                    <w:rPr>
                      <w:rFonts w:asciiTheme="majorHAnsi" w:hAnsiTheme="majorHAnsi"/>
                    </w:rPr>
                    <w:t xml:space="preserve"> SM/Chol 1:1 membrane patch</w:t>
                  </w:r>
                  <w:r>
                    <w:rPr>
                      <w:rFonts w:asciiTheme="majorHAnsi" w:hAnsiTheme="majorHAnsi"/>
                    </w:rPr>
                    <w:t xml:space="preserve"> from Fig. 2, the patch covered with Lysenin oligomers, out of which 5% are in the pore </w:t>
                  </w:r>
                  <w:r w:rsidRPr="006F5FB6">
                    <w:rPr>
                      <w:rFonts w:asciiTheme="majorHAnsi" w:hAnsiTheme="majorHAnsi"/>
                    </w:rPr>
                    <w:t>structural state</w:t>
                  </w:r>
                  <w:r>
                    <w:rPr>
                      <w:rFonts w:asciiTheme="majorHAnsi" w:hAnsiTheme="majorHAnsi"/>
                    </w:rPr>
                    <w:t xml:space="preserve">. The frame correspond to minute 4 of the time reference of Fig. 2 and supplementary movie 2.  The asterisk indicates the lysenin oligomer highlighted in the figure. </w:t>
                  </w:r>
                  <w:r w:rsidRPr="00093BBE">
                    <w:rPr>
                      <w:rFonts w:asciiTheme="majorHAnsi" w:hAnsiTheme="majorHAnsi"/>
                      <w:b/>
                    </w:rPr>
                    <w:t>a cent</w:t>
                  </w:r>
                  <w:r>
                    <w:rPr>
                      <w:rFonts w:asciiTheme="majorHAnsi" w:hAnsiTheme="majorHAnsi"/>
                      <w:b/>
                    </w:rPr>
                    <w:t>ral</w:t>
                  </w:r>
                  <w:r>
                    <w:rPr>
                      <w:rFonts w:asciiTheme="majorHAnsi" w:hAnsiTheme="majorHAnsi"/>
                    </w:rPr>
                    <w:t xml:space="preserve">, kymograph from the minute 4 to the minute 8 of the time reference of Fig. 2 of the profile-lines indicated. Six instants from lysenin nonamer highlighted are signalled in roman numbers. </w:t>
                  </w:r>
                  <w:r w:rsidRPr="00093BBE">
                    <w:rPr>
                      <w:rFonts w:asciiTheme="majorHAnsi" w:hAnsiTheme="majorHAnsi"/>
                      <w:b/>
                    </w:rPr>
                    <w:t xml:space="preserve"> a </w:t>
                  </w:r>
                  <w:r>
                    <w:rPr>
                      <w:rFonts w:asciiTheme="majorHAnsi" w:hAnsiTheme="majorHAnsi"/>
                      <w:b/>
                    </w:rPr>
                    <w:t>right</w:t>
                  </w:r>
                  <w:r>
                    <w:rPr>
                      <w:rFonts w:asciiTheme="majorHAnsi" w:hAnsiTheme="majorHAnsi"/>
                    </w:rPr>
                    <w:t xml:space="preserve">, image of the </w:t>
                  </w:r>
                  <w:r w:rsidRPr="00E74AA5">
                    <w:rPr>
                      <w:rFonts w:asciiTheme="majorHAnsi" w:hAnsiTheme="majorHAnsi"/>
                    </w:rPr>
                    <w:t xml:space="preserve"> SM/Chol 1:1 membrane patch</w:t>
                  </w:r>
                  <w:r>
                    <w:rPr>
                      <w:rFonts w:asciiTheme="majorHAnsi" w:hAnsiTheme="majorHAnsi"/>
                    </w:rPr>
                    <w:t xml:space="preserve"> covered with Lysenin nonamers  at minute 8.  11% of nonamers are in the pore </w:t>
                  </w:r>
                  <w:r w:rsidRPr="006F5FB6">
                    <w:rPr>
                      <w:rFonts w:asciiTheme="majorHAnsi" w:hAnsiTheme="majorHAnsi"/>
                    </w:rPr>
                    <w:t>structural state</w:t>
                  </w:r>
                  <w:r>
                    <w:rPr>
                      <w:rFonts w:asciiTheme="majorHAnsi" w:hAnsiTheme="majorHAnsi"/>
                    </w:rPr>
                    <w:t>. The white circle signals one of the events of li</w:t>
                  </w:r>
                  <w:r w:rsidRPr="00C30050">
                    <w:rPr>
                      <w:rFonts w:asciiTheme="majorHAnsi" w:hAnsiTheme="majorHAnsi"/>
                    </w:rPr>
                    <w:t>pid extraction</w:t>
                  </w:r>
                  <w:r>
                    <w:rPr>
                      <w:rFonts w:asciiTheme="majorHAnsi" w:hAnsiTheme="majorHAnsi"/>
                    </w:rPr>
                    <w:t xml:space="preserve"> visible in the image. </w:t>
                  </w:r>
                  <w:r w:rsidRPr="00C30050">
                    <w:rPr>
                      <w:rFonts w:asciiTheme="majorHAnsi" w:hAnsiTheme="majorHAnsi"/>
                      <w:b/>
                    </w:rPr>
                    <w:t>b</w:t>
                  </w:r>
                  <w:r>
                    <w:rPr>
                      <w:rFonts w:asciiTheme="majorHAnsi" w:hAnsiTheme="majorHAnsi"/>
                    </w:rPr>
                    <w:t xml:space="preserve">, Images of the six instants from a lysenin oligomer highlighted in the figure. i,  the nonamer in prepore </w:t>
                  </w:r>
                  <w:r w:rsidRPr="006F5FB6">
                    <w:rPr>
                      <w:rFonts w:asciiTheme="majorHAnsi" w:hAnsiTheme="majorHAnsi"/>
                    </w:rPr>
                    <w:t>structural state</w:t>
                  </w:r>
                  <w:r>
                    <w:rPr>
                      <w:rFonts w:asciiTheme="majorHAnsi" w:hAnsiTheme="majorHAnsi"/>
                    </w:rPr>
                    <w:t xml:space="preserve">. ii, the nonamer in pore </w:t>
                  </w:r>
                  <w:r w:rsidRPr="006F5FB6">
                    <w:rPr>
                      <w:rFonts w:asciiTheme="majorHAnsi" w:hAnsiTheme="majorHAnsi"/>
                    </w:rPr>
                    <w:t>structural state</w:t>
                  </w:r>
                  <w:r>
                    <w:rPr>
                      <w:rFonts w:asciiTheme="majorHAnsi" w:hAnsiTheme="majorHAnsi"/>
                    </w:rPr>
                    <w:t>. iii, iv, v and vi,  lipid extraction; sequence of events. An illustrative cartoon is shown on vi.</w:t>
                  </w:r>
                </w:p>
                <w:p w:rsidR="00D23668" w:rsidRDefault="00D23668" w:rsidP="004F08AD">
                  <w:pPr>
                    <w:widowControl/>
                    <w:suppressAutoHyphens w:val="0"/>
                    <w:autoSpaceDE w:val="0"/>
                    <w:autoSpaceDN w:val="0"/>
                    <w:adjustRightInd w:val="0"/>
                    <w:spacing w:before="240" w:after="240"/>
                    <w:jc w:val="both"/>
                    <w:rPr>
                      <w:rFonts w:asciiTheme="majorHAnsi" w:hAnsiTheme="majorHAnsi"/>
                      <w:b/>
                      <w:sz w:val="20"/>
                      <w:szCs w:val="20"/>
                    </w:rPr>
                  </w:pPr>
                </w:p>
                <w:p w:rsidR="00D23668" w:rsidRPr="00D16929" w:rsidRDefault="00D23668" w:rsidP="004F08AD">
                  <w:pPr>
                    <w:widowControl/>
                    <w:suppressAutoHyphens w:val="0"/>
                    <w:autoSpaceDE w:val="0"/>
                    <w:autoSpaceDN w:val="0"/>
                    <w:adjustRightInd w:val="0"/>
                    <w:spacing w:before="240" w:after="240"/>
                    <w:jc w:val="both"/>
                    <w:rPr>
                      <w:rFonts w:asciiTheme="majorHAnsi" w:hAnsiTheme="majorHAnsi"/>
                      <w:b/>
                      <w:sz w:val="20"/>
                      <w:szCs w:val="20"/>
                      <w:lang w:val="en-US"/>
                    </w:rPr>
                  </w:pPr>
                </w:p>
                <w:p w:rsidR="00D23668" w:rsidRPr="00D16929" w:rsidRDefault="00D23668" w:rsidP="004F08AD">
                  <w:pPr>
                    <w:widowControl/>
                    <w:suppressAutoHyphens w:val="0"/>
                    <w:autoSpaceDE w:val="0"/>
                    <w:autoSpaceDN w:val="0"/>
                    <w:adjustRightInd w:val="0"/>
                    <w:spacing w:before="240" w:after="240"/>
                    <w:jc w:val="both"/>
                    <w:rPr>
                      <w:rFonts w:asciiTheme="majorHAnsi" w:hAnsiTheme="majorHAnsi"/>
                      <w:b/>
                      <w:sz w:val="20"/>
                      <w:szCs w:val="20"/>
                      <w:lang w:val="en-US"/>
                    </w:rPr>
                  </w:pPr>
                </w:p>
                <w:p w:rsidR="00D23668" w:rsidRPr="00D16929" w:rsidRDefault="00D23668" w:rsidP="004F08AD">
                  <w:pPr>
                    <w:widowControl/>
                    <w:suppressAutoHyphens w:val="0"/>
                    <w:autoSpaceDE w:val="0"/>
                    <w:autoSpaceDN w:val="0"/>
                    <w:adjustRightInd w:val="0"/>
                    <w:spacing w:before="240" w:after="240"/>
                    <w:jc w:val="both"/>
                    <w:rPr>
                      <w:rFonts w:asciiTheme="majorHAnsi" w:hAnsiTheme="majorHAnsi"/>
                      <w:b/>
                      <w:sz w:val="20"/>
                      <w:szCs w:val="20"/>
                      <w:lang w:val="en-US"/>
                    </w:rPr>
                  </w:pPr>
                </w:p>
                <w:p w:rsidR="00D23668" w:rsidRPr="00195ECA" w:rsidRDefault="00D23668" w:rsidP="004F08AD">
                  <w:pPr>
                    <w:widowControl/>
                    <w:suppressAutoHyphens w:val="0"/>
                    <w:autoSpaceDE w:val="0"/>
                    <w:autoSpaceDN w:val="0"/>
                    <w:adjustRightInd w:val="0"/>
                    <w:spacing w:before="240" w:after="240"/>
                    <w:jc w:val="both"/>
                    <w:rPr>
                      <w:rFonts w:asciiTheme="majorHAnsi" w:hAnsiTheme="majorHAnsi"/>
                    </w:rPr>
                  </w:pPr>
                </w:p>
              </w:tc>
            </w:tr>
          </w:tbl>
          <w:p w:rsidR="00D23668" w:rsidRDefault="00D23668" w:rsidP="004F08AD">
            <w:pPr>
              <w:widowControl/>
              <w:suppressAutoHyphens w:val="0"/>
              <w:autoSpaceDE w:val="0"/>
              <w:autoSpaceDN w:val="0"/>
              <w:adjustRightInd w:val="0"/>
              <w:spacing w:before="240" w:after="240"/>
              <w:jc w:val="both"/>
              <w:rPr>
                <w:rFonts w:asciiTheme="majorHAnsi" w:hAnsiTheme="majorHAnsi"/>
              </w:rPr>
            </w:pPr>
          </w:p>
          <w:p w:rsidR="00D23668" w:rsidRDefault="00D23668" w:rsidP="004F08AD">
            <w:pPr>
              <w:widowControl/>
              <w:suppressAutoHyphens w:val="0"/>
              <w:autoSpaceDE w:val="0"/>
              <w:autoSpaceDN w:val="0"/>
              <w:adjustRightInd w:val="0"/>
              <w:spacing w:before="240" w:after="240"/>
              <w:jc w:val="both"/>
              <w:rPr>
                <w:rFonts w:asciiTheme="majorHAnsi" w:hAnsiTheme="majorHAnsi"/>
              </w:rPr>
            </w:pPr>
          </w:p>
          <w:p w:rsidR="00D23668" w:rsidRDefault="00D23668" w:rsidP="004F08AD">
            <w:pPr>
              <w:widowControl/>
              <w:suppressAutoHyphens w:val="0"/>
              <w:autoSpaceDE w:val="0"/>
              <w:autoSpaceDN w:val="0"/>
              <w:adjustRightInd w:val="0"/>
              <w:spacing w:before="240" w:after="240"/>
              <w:jc w:val="both"/>
              <w:rPr>
                <w:rFonts w:asciiTheme="majorHAnsi" w:hAnsiTheme="majorHAnsi"/>
              </w:rPr>
            </w:pPr>
          </w:p>
          <w:p w:rsidR="00D23668" w:rsidRDefault="00D23668" w:rsidP="004F08AD">
            <w:pPr>
              <w:widowControl/>
              <w:suppressAutoHyphens w:val="0"/>
              <w:autoSpaceDE w:val="0"/>
              <w:autoSpaceDN w:val="0"/>
              <w:adjustRightInd w:val="0"/>
              <w:spacing w:before="240" w:after="240"/>
              <w:jc w:val="both"/>
              <w:rPr>
                <w:rFonts w:asciiTheme="majorHAnsi" w:hAnsiTheme="majorHAnsi"/>
              </w:rPr>
            </w:pPr>
          </w:p>
          <w:p w:rsidR="00D23668" w:rsidRDefault="00D23668" w:rsidP="004F08AD">
            <w:pPr>
              <w:widowControl/>
              <w:suppressAutoHyphens w:val="0"/>
              <w:autoSpaceDE w:val="0"/>
              <w:autoSpaceDN w:val="0"/>
              <w:adjustRightInd w:val="0"/>
              <w:spacing w:before="240" w:after="240"/>
              <w:jc w:val="both"/>
              <w:rPr>
                <w:rFonts w:asciiTheme="majorHAnsi" w:hAnsiTheme="majorHAnsi"/>
              </w:rPr>
            </w:pPr>
          </w:p>
          <w:p w:rsidR="00D23668" w:rsidRDefault="00D23668" w:rsidP="004F08AD">
            <w:pPr>
              <w:widowControl/>
              <w:suppressAutoHyphens w:val="0"/>
              <w:autoSpaceDE w:val="0"/>
              <w:autoSpaceDN w:val="0"/>
              <w:adjustRightInd w:val="0"/>
              <w:spacing w:before="240" w:after="240"/>
              <w:jc w:val="both"/>
              <w:rPr>
                <w:rFonts w:asciiTheme="majorHAnsi" w:hAnsiTheme="majorHAnsi"/>
              </w:rPr>
            </w:pPr>
          </w:p>
          <w:p w:rsidR="00D23668" w:rsidRPr="00195ECA" w:rsidRDefault="00D23668" w:rsidP="004F08AD">
            <w:pPr>
              <w:jc w:val="both"/>
              <w:rPr>
                <w:rFonts w:asciiTheme="majorHAnsi" w:hAnsiTheme="majorHAnsi"/>
                <w:sz w:val="20"/>
                <w:szCs w:val="20"/>
              </w:rPr>
            </w:pPr>
          </w:p>
        </w:tc>
      </w:tr>
    </w:tbl>
    <w:p w:rsidR="000232BF" w:rsidRDefault="000232BF" w:rsidP="00DA3638">
      <w:pPr>
        <w:pStyle w:val="EndNoteBibliography"/>
        <w:spacing w:line="360" w:lineRule="auto"/>
        <w:rPr>
          <w:rFonts w:asciiTheme="majorHAnsi" w:hAnsiTheme="majorHAnsi" w:cstheme="majorHAnsi"/>
        </w:rPr>
      </w:pPr>
    </w:p>
    <w:p w:rsidR="000232BF" w:rsidRDefault="000232BF" w:rsidP="00DA3638">
      <w:pPr>
        <w:pStyle w:val="EndNoteBibliography"/>
        <w:spacing w:line="360" w:lineRule="auto"/>
        <w:rPr>
          <w:rFonts w:asciiTheme="majorHAnsi" w:hAnsiTheme="majorHAnsi" w:cstheme="majorHAnsi"/>
        </w:rPr>
      </w:pPr>
    </w:p>
    <w:p w:rsidR="000232BF" w:rsidRPr="000232BF" w:rsidRDefault="000232BF" w:rsidP="00DA3638">
      <w:pPr>
        <w:pStyle w:val="EndNoteBibliography"/>
        <w:spacing w:line="360" w:lineRule="auto"/>
        <w:rPr>
          <w:rFonts w:asciiTheme="majorHAnsi" w:hAnsiTheme="majorHAnsi" w:cstheme="majorHAnsi"/>
          <w:b/>
          <w:sz w:val="28"/>
        </w:rPr>
      </w:pPr>
      <w:r w:rsidRPr="000232BF">
        <w:rPr>
          <w:rFonts w:asciiTheme="majorHAnsi" w:hAnsiTheme="majorHAnsi" w:cstheme="majorHAnsi"/>
          <w:b/>
          <w:sz w:val="28"/>
        </w:rPr>
        <w:lastRenderedPageBreak/>
        <w:t>Origin of hydrophobic negative mismatch in lysenin pores</w:t>
      </w:r>
    </w:p>
    <w:p w:rsidR="000232BF" w:rsidRDefault="000232BF" w:rsidP="00DA3638">
      <w:pPr>
        <w:pStyle w:val="EndNoteBibliography"/>
        <w:spacing w:line="360" w:lineRule="auto"/>
        <w:rPr>
          <w:rFonts w:asciiTheme="majorHAnsi" w:hAnsiTheme="majorHAnsi" w:cstheme="majorHAnsi"/>
        </w:rPr>
      </w:pPr>
    </w:p>
    <w:p w:rsidR="000232BF" w:rsidRDefault="000232BF" w:rsidP="00DA3638">
      <w:pPr>
        <w:pStyle w:val="EndNoteBibliography"/>
        <w:spacing w:line="360" w:lineRule="auto"/>
        <w:rPr>
          <w:rFonts w:asciiTheme="majorHAnsi" w:hAnsiTheme="majorHAnsi" w:cstheme="majorHAnsi"/>
        </w:rPr>
      </w:pPr>
      <w:r w:rsidRPr="000232BF">
        <w:rPr>
          <w:rFonts w:asciiTheme="majorHAnsi" w:hAnsiTheme="majorHAnsi" w:cstheme="majorHAnsi"/>
        </w:rPr>
        <w:t>Cryogenic Electron Microscopy (Cryo-EM) studies- of Lysenin pore is 32 Å in height</w:t>
      </w:r>
      <w:r>
        <w:rPr>
          <w:rFonts w:asciiTheme="majorHAnsi" w:hAnsiTheme="majorHAnsi" w:cstheme="majorHAnsi"/>
          <w:vertAlign w:val="superscript"/>
        </w:rPr>
        <w:t>1</w:t>
      </w:r>
      <w:r w:rsidRPr="000232BF">
        <w:rPr>
          <w:rFonts w:asciiTheme="majorHAnsi" w:hAnsiTheme="majorHAnsi" w:cstheme="majorHAnsi"/>
        </w:rPr>
        <w:t>. Sphingomyelin/Cholesterol (SM/Chol) 1:1 bilayers are about 4.5 nm height.58 This difference in height of Lysenin pore in SM/Chol 1:1 membranes implies a bent of membrane in the region surrounding the pore, call negative mismatch</w:t>
      </w:r>
      <w:r>
        <w:rPr>
          <w:rFonts w:asciiTheme="majorHAnsi" w:hAnsiTheme="majorHAnsi" w:cstheme="majorHAnsi"/>
          <w:vertAlign w:val="superscript"/>
        </w:rPr>
        <w:t>2,3,4</w:t>
      </w:r>
      <w:r w:rsidRPr="000232BF">
        <w:rPr>
          <w:rFonts w:asciiTheme="majorHAnsi" w:hAnsiTheme="majorHAnsi" w:cstheme="majorHAnsi"/>
        </w:rPr>
        <w:t>. This membrane bending results in a net attraction-to decrease the amount of bent membrane- between pores that induce aggregation.59,60</w:t>
      </w:r>
    </w:p>
    <w:p w:rsidR="000232BF" w:rsidRDefault="000232BF" w:rsidP="00DA3638">
      <w:pPr>
        <w:pStyle w:val="EndNoteBibliography"/>
        <w:spacing w:line="360" w:lineRule="auto"/>
        <w:rPr>
          <w:rFonts w:asciiTheme="majorHAnsi" w:hAnsiTheme="majorHAnsi" w:cstheme="majorHAnsi"/>
        </w:rPr>
      </w:pPr>
    </w:p>
    <w:p w:rsidR="000232BF" w:rsidRDefault="000232BF" w:rsidP="000232BF">
      <w:pPr>
        <w:pStyle w:val="EndNoteBibliography"/>
        <w:spacing w:line="360" w:lineRule="auto"/>
        <w:rPr>
          <w:rFonts w:asciiTheme="majorHAnsi" w:hAnsiTheme="majorHAnsi" w:cstheme="majorHAnsi"/>
        </w:rPr>
      </w:pPr>
      <w:r>
        <w:rPr>
          <w:rFonts w:asciiTheme="majorHAnsi" w:hAnsiTheme="majorHAnsi" w:cstheme="majorHAnsi"/>
        </w:rPr>
        <w:t>1</w:t>
      </w:r>
      <w:r w:rsidRPr="000232BF">
        <w:rPr>
          <w:rFonts w:asciiTheme="majorHAnsi" w:hAnsiTheme="majorHAnsi" w:cstheme="majorHAnsi"/>
        </w:rPr>
        <w:t xml:space="preserve">. Bokori-Brown, M., Martin, T.G., Naylor, C.E., Basak, A.K., Titball, R.W. &amp; Savva, C.G. Cryo-EM structure of lysenin pore elucidates membrane insertion by an aerolysin family protein. Nat Commun 7, 11293 (2016). </w:t>
      </w:r>
    </w:p>
    <w:p w:rsidR="000232BF" w:rsidRDefault="000232BF" w:rsidP="00DA3638">
      <w:pPr>
        <w:pStyle w:val="EndNoteBibliography"/>
        <w:spacing w:line="360" w:lineRule="auto"/>
        <w:rPr>
          <w:rFonts w:asciiTheme="majorHAnsi" w:hAnsiTheme="majorHAnsi" w:cstheme="majorHAnsi"/>
        </w:rPr>
      </w:pPr>
      <w:r>
        <w:rPr>
          <w:rFonts w:asciiTheme="majorHAnsi" w:hAnsiTheme="majorHAnsi" w:cstheme="majorHAnsi"/>
        </w:rPr>
        <w:t>2</w:t>
      </w:r>
      <w:r w:rsidRPr="000232BF">
        <w:rPr>
          <w:rFonts w:asciiTheme="majorHAnsi" w:hAnsiTheme="majorHAnsi" w:cstheme="majorHAnsi"/>
        </w:rPr>
        <w:t xml:space="preserve">. Ros, U. &amp; Garcia-Saez, A.J. More Than a Pore: The Interplay of Pore-Forming and Lipid Membranes. J Membr Biol 248, 545 (2015). </w:t>
      </w:r>
    </w:p>
    <w:p w:rsidR="000232BF" w:rsidRDefault="000232BF" w:rsidP="000232BF">
      <w:pPr>
        <w:pStyle w:val="EndNoteBibliography"/>
        <w:spacing w:line="360" w:lineRule="auto"/>
        <w:rPr>
          <w:rFonts w:asciiTheme="majorHAnsi" w:hAnsiTheme="majorHAnsi" w:cstheme="majorHAnsi"/>
        </w:rPr>
      </w:pPr>
      <w:r>
        <w:rPr>
          <w:rFonts w:asciiTheme="majorHAnsi" w:hAnsiTheme="majorHAnsi" w:cstheme="majorHAnsi"/>
        </w:rPr>
        <w:t>3</w:t>
      </w:r>
      <w:r w:rsidRPr="000232BF">
        <w:rPr>
          <w:rFonts w:asciiTheme="majorHAnsi" w:hAnsiTheme="majorHAnsi" w:cstheme="majorHAnsi"/>
        </w:rPr>
        <w:t xml:space="preserve">. Quinn, P.J. Structure of Sphingomyelin Bilayers and Complexes with Cholesterol Forming Membrane Rafts. Langmuir, 10 (2013). </w:t>
      </w:r>
    </w:p>
    <w:p w:rsidR="000232BF" w:rsidRDefault="000232BF" w:rsidP="000232BF">
      <w:pPr>
        <w:pStyle w:val="EndNoteBibliography"/>
        <w:spacing w:line="360" w:lineRule="auto"/>
        <w:rPr>
          <w:rFonts w:asciiTheme="majorHAnsi" w:hAnsiTheme="majorHAnsi" w:cstheme="majorHAnsi"/>
        </w:rPr>
      </w:pPr>
      <w:r>
        <w:rPr>
          <w:rFonts w:asciiTheme="majorHAnsi" w:hAnsiTheme="majorHAnsi" w:cstheme="majorHAnsi"/>
        </w:rPr>
        <w:t>4</w:t>
      </w:r>
      <w:r w:rsidRPr="000232BF">
        <w:rPr>
          <w:rFonts w:asciiTheme="majorHAnsi" w:hAnsiTheme="majorHAnsi" w:cstheme="majorHAnsi"/>
        </w:rPr>
        <w:t xml:space="preserve">. Guigas, G. &amp; Weiss, M. Effects of protein crowding on membrane systems. Biochim Biophys Acta 1858, 2441 (2016). </w:t>
      </w:r>
    </w:p>
    <w:p w:rsidR="000232BF" w:rsidRPr="00DA3638" w:rsidRDefault="000232BF" w:rsidP="000232BF">
      <w:pPr>
        <w:pStyle w:val="EndNoteBibliography"/>
        <w:spacing w:line="360" w:lineRule="auto"/>
        <w:rPr>
          <w:rFonts w:asciiTheme="majorHAnsi" w:hAnsiTheme="majorHAnsi" w:cstheme="majorHAnsi"/>
        </w:rPr>
      </w:pPr>
      <w:r w:rsidRPr="000232BF">
        <w:rPr>
          <w:rFonts w:asciiTheme="majorHAnsi" w:hAnsiTheme="majorHAnsi" w:cstheme="majorHAnsi"/>
        </w:rPr>
        <w:t xml:space="preserve">60. Phillips, R., Ursell, T., Wiggins, P. &amp; Sens, P. Emerging roles for lipids in shaping membrane-protein function. Nature 459, 379 (2009). </w:t>
      </w:r>
    </w:p>
    <w:sectPr w:rsidR="000232BF" w:rsidRPr="00DA3638" w:rsidSect="0073355D">
      <w:footerReference w:type="default" r:id="rId9"/>
      <w:pgSz w:w="11906" w:h="16838"/>
      <w:pgMar w:top="1417" w:right="1417" w:bottom="1417" w:left="1417" w:header="0"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124" w:rsidRDefault="00D41124">
      <w:r>
        <w:separator/>
      </w:r>
    </w:p>
  </w:endnote>
  <w:endnote w:type="continuationSeparator" w:id="0">
    <w:p w:rsidR="00D41124" w:rsidRDefault="00D41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5999251"/>
      <w:docPartObj>
        <w:docPartGallery w:val="Page Numbers (Bottom of Page)"/>
        <w:docPartUnique/>
      </w:docPartObj>
    </w:sdtPr>
    <w:sdtEndPr>
      <w:rPr>
        <w:noProof/>
      </w:rPr>
    </w:sdtEndPr>
    <w:sdtContent>
      <w:p w:rsidR="00241064" w:rsidRDefault="002C42F3">
        <w:pPr>
          <w:pStyle w:val="Footer"/>
          <w:jc w:val="center"/>
        </w:pPr>
        <w:r>
          <w:fldChar w:fldCharType="begin"/>
        </w:r>
        <w:r>
          <w:instrText xml:space="preserve"> PAGE   \* MERGEFORMAT </w:instrText>
        </w:r>
        <w:r>
          <w:fldChar w:fldCharType="separate"/>
        </w:r>
        <w:r w:rsidR="009B1AD3">
          <w:rPr>
            <w:noProof/>
          </w:rPr>
          <w:t>1</w:t>
        </w:r>
        <w:r>
          <w:rPr>
            <w:noProof/>
          </w:rPr>
          <w:fldChar w:fldCharType="end"/>
        </w:r>
      </w:p>
    </w:sdtContent>
  </w:sdt>
  <w:p w:rsidR="00241064" w:rsidRDefault="002410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124" w:rsidRDefault="00D41124">
      <w:r>
        <w:separator/>
      </w:r>
    </w:p>
  </w:footnote>
  <w:footnote w:type="continuationSeparator" w:id="0">
    <w:p w:rsidR="00D41124" w:rsidRDefault="00D411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mbria&lt;/FontName&gt;&lt;FontSize&gt;12&lt;/FontSize&gt;&lt;ReflistTitle&gt;&amp;#xA;&amp;#xA;&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r0zete05dz095edza9xf05pf092efpaevrt&quot;&gt;REFS&lt;record-ids&gt;&lt;item&gt;28&lt;/item&gt;&lt;item&gt;36&lt;/item&gt;&lt;item&gt;43&lt;/item&gt;&lt;item&gt;57&lt;/item&gt;&lt;item&gt;58&lt;/item&gt;&lt;item&gt;59&lt;/item&gt;&lt;item&gt;60&lt;/item&gt;&lt;item&gt;61&lt;/item&gt;&lt;item&gt;62&lt;/item&gt;&lt;/record-ids&gt;&lt;/item&gt;&lt;/Libraries&gt;"/>
  </w:docVars>
  <w:rsids>
    <w:rsidRoot w:val="00D02169"/>
    <w:rsid w:val="000232BF"/>
    <w:rsid w:val="000715B1"/>
    <w:rsid w:val="0008253C"/>
    <w:rsid w:val="000859C6"/>
    <w:rsid w:val="000A0576"/>
    <w:rsid w:val="000A1362"/>
    <w:rsid w:val="000A7D4E"/>
    <w:rsid w:val="00144A12"/>
    <w:rsid w:val="00175F22"/>
    <w:rsid w:val="0018138F"/>
    <w:rsid w:val="001A2A5C"/>
    <w:rsid w:val="001E1CC7"/>
    <w:rsid w:val="001F6AC0"/>
    <w:rsid w:val="002174F2"/>
    <w:rsid w:val="00241064"/>
    <w:rsid w:val="002C42F3"/>
    <w:rsid w:val="002F13A0"/>
    <w:rsid w:val="00302342"/>
    <w:rsid w:val="0032744C"/>
    <w:rsid w:val="003B51BC"/>
    <w:rsid w:val="00401F07"/>
    <w:rsid w:val="0044579D"/>
    <w:rsid w:val="00481EDC"/>
    <w:rsid w:val="004D5CE9"/>
    <w:rsid w:val="004F49FB"/>
    <w:rsid w:val="00551CBF"/>
    <w:rsid w:val="00660B7C"/>
    <w:rsid w:val="00672A9C"/>
    <w:rsid w:val="006B31AB"/>
    <w:rsid w:val="006E42D2"/>
    <w:rsid w:val="00701802"/>
    <w:rsid w:val="00712F68"/>
    <w:rsid w:val="00720150"/>
    <w:rsid w:val="00720B42"/>
    <w:rsid w:val="0073022E"/>
    <w:rsid w:val="0073355D"/>
    <w:rsid w:val="007C7266"/>
    <w:rsid w:val="007D6B9A"/>
    <w:rsid w:val="007F0A06"/>
    <w:rsid w:val="0082753B"/>
    <w:rsid w:val="0085589E"/>
    <w:rsid w:val="008665A0"/>
    <w:rsid w:val="00881EF0"/>
    <w:rsid w:val="009245EA"/>
    <w:rsid w:val="009A7D43"/>
    <w:rsid w:val="009B1AD3"/>
    <w:rsid w:val="009C482B"/>
    <w:rsid w:val="009D32A8"/>
    <w:rsid w:val="00A07F0A"/>
    <w:rsid w:val="00A54946"/>
    <w:rsid w:val="00A92998"/>
    <w:rsid w:val="00A975D1"/>
    <w:rsid w:val="00AD6F9E"/>
    <w:rsid w:val="00B16FE9"/>
    <w:rsid w:val="00B26765"/>
    <w:rsid w:val="00B3703C"/>
    <w:rsid w:val="00B576A4"/>
    <w:rsid w:val="00BF24A2"/>
    <w:rsid w:val="00C82F85"/>
    <w:rsid w:val="00D01518"/>
    <w:rsid w:val="00D02169"/>
    <w:rsid w:val="00D167A8"/>
    <w:rsid w:val="00D23668"/>
    <w:rsid w:val="00D41124"/>
    <w:rsid w:val="00D8087F"/>
    <w:rsid w:val="00D906A1"/>
    <w:rsid w:val="00DA3638"/>
    <w:rsid w:val="00DB2E1C"/>
    <w:rsid w:val="00DD4EA1"/>
    <w:rsid w:val="00DE098F"/>
    <w:rsid w:val="00E1042E"/>
    <w:rsid w:val="00E53458"/>
    <w:rsid w:val="00E536A1"/>
    <w:rsid w:val="00E55709"/>
    <w:rsid w:val="00E60859"/>
    <w:rsid w:val="00E75437"/>
    <w:rsid w:val="00E83295"/>
    <w:rsid w:val="00EC6BF4"/>
    <w:rsid w:val="00ED2C5C"/>
    <w:rsid w:val="00F247A6"/>
    <w:rsid w:val="00FC07F7"/>
    <w:rsid w:val="00FF5469"/>
    <w:rsid w:val="00FF61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C1A620-243D-4034-B038-4204C070A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84C"/>
    <w:pPr>
      <w:widowControl w:val="0"/>
      <w:suppressAutoHyphens/>
    </w:pPr>
    <w:rPr>
      <w:rFonts w:ascii="Cambria" w:eastAsia="Cambria" w:hAnsi="Cambria" w:cs="Times New Roman"/>
      <w:sz w:val="24"/>
      <w:szCs w:val="24"/>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BibliographyTitleChar">
    <w:name w:val="EndNote Bibliography Title Char"/>
    <w:basedOn w:val="DefaultParagraphFont"/>
    <w:link w:val="EndNoteBibliographyTitle"/>
    <w:qFormat/>
    <w:rsid w:val="00E16CA5"/>
    <w:rPr>
      <w:rFonts w:ascii="Cambria" w:eastAsia="Cambria" w:hAnsi="Cambria" w:cs="Times New Roman"/>
      <w:sz w:val="24"/>
      <w:szCs w:val="24"/>
      <w:lang w:val="en-GB" w:eastAsia="ar-SA"/>
    </w:rPr>
  </w:style>
  <w:style w:type="character" w:customStyle="1" w:styleId="EndNoteBibliographyChar">
    <w:name w:val="EndNote Bibliography Char"/>
    <w:basedOn w:val="DefaultParagraphFont"/>
    <w:link w:val="EndNoteBibliography"/>
    <w:qFormat/>
    <w:rsid w:val="00E16CA5"/>
    <w:rPr>
      <w:rFonts w:ascii="Cambria" w:eastAsia="Cambria" w:hAnsi="Cambria" w:cs="Times New Roman"/>
      <w:sz w:val="24"/>
      <w:szCs w:val="24"/>
      <w:lang w:val="en-GB" w:eastAsia="ar-SA"/>
    </w:rPr>
  </w:style>
  <w:style w:type="character" w:customStyle="1" w:styleId="InternetLink">
    <w:name w:val="Internet Link"/>
    <w:basedOn w:val="DefaultParagraphFont"/>
    <w:uiPriority w:val="99"/>
    <w:unhideWhenUsed/>
    <w:rsid w:val="005D3FAC"/>
    <w:rPr>
      <w:color w:val="0563C1" w:themeColor="hyperlink"/>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customStyle="1" w:styleId="EndNoteBibliographyTitle">
    <w:name w:val="EndNote Bibliography Title"/>
    <w:basedOn w:val="Normal"/>
    <w:link w:val="EndNoteBibliographyTitleChar"/>
    <w:qFormat/>
    <w:rsid w:val="00E16CA5"/>
    <w:pPr>
      <w:jc w:val="center"/>
    </w:pPr>
  </w:style>
  <w:style w:type="paragraph" w:customStyle="1" w:styleId="EndNoteBibliography">
    <w:name w:val="EndNote Bibliography"/>
    <w:basedOn w:val="Normal"/>
    <w:link w:val="EndNoteBibliographyChar"/>
    <w:qFormat/>
    <w:rsid w:val="00E16CA5"/>
    <w:pPr>
      <w:jc w:val="both"/>
    </w:pPr>
  </w:style>
  <w:style w:type="paragraph" w:styleId="Bibliography">
    <w:name w:val="Bibliography"/>
    <w:basedOn w:val="Normal"/>
    <w:next w:val="Normal"/>
    <w:uiPriority w:val="37"/>
    <w:unhideWhenUsed/>
    <w:qFormat/>
    <w:rsid w:val="00747DA7"/>
    <w:pPr>
      <w:tabs>
        <w:tab w:val="left" w:pos="144"/>
      </w:tabs>
      <w:ind w:left="144" w:hanging="144"/>
    </w:pPr>
  </w:style>
  <w:style w:type="paragraph" w:customStyle="1" w:styleId="FrameContents">
    <w:name w:val="Frame Contents"/>
    <w:basedOn w:val="Normal"/>
    <w:qFormat/>
  </w:style>
  <w:style w:type="table" w:styleId="TableGrid">
    <w:name w:val="Table Grid"/>
    <w:basedOn w:val="TableNormal"/>
    <w:uiPriority w:val="59"/>
    <w:rsid w:val="0034084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E42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2D2"/>
    <w:rPr>
      <w:rFonts w:ascii="Segoe UI" w:eastAsia="Cambria" w:hAnsi="Segoe UI" w:cs="Segoe UI"/>
      <w:sz w:val="18"/>
      <w:szCs w:val="18"/>
      <w:lang w:val="en-GB" w:eastAsia="ar-SA"/>
    </w:rPr>
  </w:style>
  <w:style w:type="paragraph" w:styleId="Header">
    <w:name w:val="header"/>
    <w:basedOn w:val="Normal"/>
    <w:link w:val="HeaderChar"/>
    <w:uiPriority w:val="99"/>
    <w:unhideWhenUsed/>
    <w:rsid w:val="00241064"/>
    <w:pPr>
      <w:tabs>
        <w:tab w:val="center" w:pos="4513"/>
        <w:tab w:val="right" w:pos="9026"/>
      </w:tabs>
    </w:pPr>
  </w:style>
  <w:style w:type="character" w:customStyle="1" w:styleId="HeaderChar">
    <w:name w:val="Header Char"/>
    <w:basedOn w:val="DefaultParagraphFont"/>
    <w:link w:val="Header"/>
    <w:uiPriority w:val="99"/>
    <w:rsid w:val="00241064"/>
    <w:rPr>
      <w:rFonts w:ascii="Cambria" w:eastAsia="Cambria" w:hAnsi="Cambria" w:cs="Times New Roman"/>
      <w:sz w:val="24"/>
      <w:szCs w:val="24"/>
      <w:lang w:val="en-GB" w:eastAsia="ar-SA"/>
    </w:rPr>
  </w:style>
  <w:style w:type="paragraph" w:styleId="Footer">
    <w:name w:val="footer"/>
    <w:basedOn w:val="Normal"/>
    <w:link w:val="FooterChar"/>
    <w:uiPriority w:val="99"/>
    <w:unhideWhenUsed/>
    <w:rsid w:val="00241064"/>
    <w:pPr>
      <w:tabs>
        <w:tab w:val="center" w:pos="4513"/>
        <w:tab w:val="right" w:pos="9026"/>
      </w:tabs>
    </w:pPr>
  </w:style>
  <w:style w:type="character" w:customStyle="1" w:styleId="FooterChar">
    <w:name w:val="Footer Char"/>
    <w:basedOn w:val="DefaultParagraphFont"/>
    <w:link w:val="Footer"/>
    <w:uiPriority w:val="99"/>
    <w:rsid w:val="00241064"/>
    <w:rPr>
      <w:rFonts w:ascii="Cambria" w:eastAsia="Cambria" w:hAnsi="Cambria" w:cs="Times New Roman"/>
      <w:sz w:val="24"/>
      <w:szCs w:val="24"/>
      <w:lang w:val="en-GB" w:eastAsia="ar-SA"/>
    </w:rPr>
  </w:style>
  <w:style w:type="character" w:styleId="LineNumber">
    <w:name w:val="line number"/>
    <w:basedOn w:val="DefaultParagraphFont"/>
    <w:uiPriority w:val="99"/>
    <w:semiHidden/>
    <w:unhideWhenUsed/>
    <w:rsid w:val="002410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CFF07-29DF-49B3-95AF-34220F39C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3547</TotalTime>
  <Pages>5</Pages>
  <Words>730</Words>
  <Characters>4019</Characters>
  <Application>Microsoft Office Word</Application>
  <DocSecurity>0</DocSecurity>
  <Lines>33</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University of Groningen</Company>
  <LinksUpToDate>false</LinksUpToDate>
  <CharactersWithSpaces>4740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I.L.B. Munguira</dc:creator>
  <cp:lastModifiedBy>IO</cp:lastModifiedBy>
  <cp:revision>14</cp:revision>
  <cp:lastPrinted>2018-09-21T07:14:00Z</cp:lastPrinted>
  <dcterms:created xsi:type="dcterms:W3CDTF">2019-05-27T07:22:00Z</dcterms:created>
  <dcterms:modified xsi:type="dcterms:W3CDTF">2020-05-02T12:38:00Z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University of Groningen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ZOTERO_PREF_1">
    <vt:lpwstr>&lt;data data-version="3" zotero-version="5.0.58"&gt;&lt;session id="plyMXFoY"/&gt;&lt;style id="http://www.zotero.org/styles/nanoscale" hasBibliography="1" bibliographyStyleHasBeenSet="1"/&gt;&lt;prefs&gt;&lt;pref name="fieldType" value="Field"/&gt;&lt;/prefs&gt;&lt;/data&gt;</vt:lpwstr>
  </property>
</Properties>
</file>