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6D" w:rsidRDefault="0097596D" w:rsidP="0097596D">
      <w:pPr>
        <w:spacing w:line="360" w:lineRule="auto"/>
        <w:rPr>
          <w:szCs w:val="24"/>
          <w:lang w:val="en-GB"/>
        </w:rPr>
      </w:pPr>
      <w:r>
        <w:rPr>
          <w:b/>
          <w:szCs w:val="24"/>
        </w:rPr>
        <w:t>Table 3</w:t>
      </w:r>
      <w:r>
        <w:rPr>
          <w:b/>
          <w:bCs/>
          <w:szCs w:val="24"/>
        </w:rPr>
        <w:t>.</w:t>
      </w:r>
      <w:r>
        <w:rPr>
          <w:szCs w:val="24"/>
        </w:rPr>
        <w:t xml:space="preserve"> Outcome of non-aphthous symptoms with apremilast.</w:t>
      </w:r>
    </w:p>
    <w:p w:rsidR="0097596D" w:rsidRDefault="0097596D" w:rsidP="0097596D">
      <w:pPr>
        <w:rPr>
          <w:b/>
          <w:color w:val="FF0000"/>
          <w:sz w:val="20"/>
        </w:rPr>
      </w:pPr>
      <w:bookmarkStart w:id="0" w:name="_Hlk536638233"/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66A8AEA" wp14:editId="005FFB2B">
                <wp:simplePos x="0" y="0"/>
                <wp:positionH relativeFrom="margin">
                  <wp:posOffset>-68580</wp:posOffset>
                </wp:positionH>
                <wp:positionV relativeFrom="paragraph">
                  <wp:posOffset>215900</wp:posOffset>
                </wp:positionV>
                <wp:extent cx="8410575" cy="3802380"/>
                <wp:effectExtent l="0" t="0" r="0" b="0"/>
                <wp:wrapSquare wrapText="bothSides"/>
                <wp:docPr id="1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575" cy="3802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2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2"/>
                              <w:gridCol w:w="1214"/>
                              <w:gridCol w:w="1215"/>
                              <w:gridCol w:w="1215"/>
                              <w:gridCol w:w="1214"/>
                              <w:gridCol w:w="1215"/>
                              <w:gridCol w:w="1214"/>
                              <w:gridCol w:w="1216"/>
                            </w:tblGrid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1-2 Weeks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 Weeks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3 Months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6 Months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 Months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18 Months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24 Months</w:t>
                                  </w:r>
                                </w:p>
                              </w:tc>
                            </w:tr>
                            <w:tr w:rsidR="0097596D" w:rsidRPr="00D87EDF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Non-aphthous manifestations at APR onset (n)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Folliculitis/pseudofolliculitis (14)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CR (6)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(3)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 (5)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CR (10)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(3)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(10)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(3)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(6)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Arthralgias (11)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CR (1)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 (10)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(2)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 (8)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(3)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 (6)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(3)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(2)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NC (1)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ND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(3)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(2)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ND (2)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Arthritis (5)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NC (4)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PR (3)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 (2)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CR (3)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CR (3)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PR (1)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Erythema nodosum (3)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Psoriasis/ erythematosus-scaly skin lesions (3)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NC (2)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ND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NC (2)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ND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(3)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ND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(2)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(2)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Ileitis (2)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CR (1) 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Deep venous thrombosis (2)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Furunculosis (2)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(2)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 (1)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Leg ulcers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Unilateral anterior uveitis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Neurobehçet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7596D" w:rsidRPr="000D48B4">
                              <w:tc>
                                <w:tcPr>
                                  <w:tcW w:w="474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" w:name="__UnoMark__2817_157640006"/>
                                  <w:bookmarkEnd w:id="1"/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</w:t>
                                  </w:r>
                                  <w:bookmarkStart w:id="2" w:name="__UnoMark__2818_157640006"/>
                                  <w:bookmarkEnd w:id="2"/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Fever (1)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3" w:name="__UnoMark__2819_157640006"/>
                                  <w:bookmarkStart w:id="4" w:name="__UnoMark__2820_157640006"/>
                                  <w:bookmarkEnd w:id="3"/>
                                  <w:bookmarkEnd w:id="4"/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5" w:name="__UnoMark__2821_157640006"/>
                                  <w:bookmarkStart w:id="6" w:name="__UnoMark__2822_157640006"/>
                                  <w:bookmarkEnd w:id="5"/>
                                  <w:bookmarkEnd w:id="6"/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7" w:name="__UnoMark__2823_157640006"/>
                                  <w:bookmarkStart w:id="8" w:name="__UnoMark__2824_157640006"/>
                                  <w:bookmarkEnd w:id="7"/>
                                  <w:bookmarkEnd w:id="8"/>
                                  <w:r w:rsidRPr="000D48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9" w:name="__UnoMark__2826_157640006"/>
                                  <w:bookmarkStart w:id="10" w:name="__UnoMark__2825_157640006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11" w:name="__UnoMark__2828_157640006"/>
                                  <w:bookmarkStart w:id="12" w:name="__UnoMark__2827_157640006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13" w:name="__UnoMark__2830_157640006"/>
                                  <w:bookmarkStart w:id="14" w:name="__UnoMark__2829_15764000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7596D" w:rsidRPr="000D48B4" w:rsidRDefault="009759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15" w:name="__UnoMark__2831_157640006"/>
                                  <w:bookmarkEnd w:id="15"/>
                                </w:p>
                              </w:tc>
                            </w:tr>
                          </w:tbl>
                          <w:p w:rsidR="0097596D" w:rsidRDefault="0097596D" w:rsidP="0097596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A8AEA" id="_x0000_t202" coordsize="21600,21600" o:spt="202" path="m,l,21600r21600,l21600,xe">
                <v:stroke joinstyle="miter"/>
                <v:path gradientshapeok="t" o:connecttype="rect"/>
              </v:shapetype>
              <v:shape id="Marco5" o:spid="_x0000_s1026" type="#_x0000_t202" style="position:absolute;margin-left:-5.4pt;margin-top:17pt;width:662.25pt;height:299.4pt;z-index:25165926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3245" w:type="dxa"/>
                        <w:tblLook w:val="04A0" w:firstRow="1" w:lastRow="0" w:firstColumn="1" w:lastColumn="0" w:noHBand="0" w:noVBand="1"/>
                      </w:tblPr>
                      <w:tblGrid>
                        <w:gridCol w:w="4742"/>
                        <w:gridCol w:w="1214"/>
                        <w:gridCol w:w="1215"/>
                        <w:gridCol w:w="1215"/>
                        <w:gridCol w:w="1214"/>
                        <w:gridCol w:w="1215"/>
                        <w:gridCol w:w="1214"/>
                        <w:gridCol w:w="1216"/>
                      </w:tblGrid>
                      <w:tr w:rsidR="0097596D" w:rsidRPr="000D48B4"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1-2 Weeks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 Weeks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3 Months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6 Months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12 Months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18 Months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24 Months</w:t>
                            </w:r>
                          </w:p>
                        </w:tc>
                      </w:tr>
                      <w:tr w:rsidR="0097596D" w:rsidRPr="00D87EDF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Non-aphthous manifestations at APR onset (n)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Folliculitis/pseudofolliculitis (14)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 (6)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(3)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 (5)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 (10)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(3)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(10)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(3)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(6)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Arthralgias (11)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 (1)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 (10)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(2)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 (8)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(3)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 (6)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(3)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(2)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NC (1)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ND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(3)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(2)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ND (2)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trike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Arthritis (5)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NC (4)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 (3)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 (2)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 (3)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 (3)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 (1)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Erythema nodosum (3)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Psoriasis/ erythematosus-scaly skin lesions (3)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NC (2)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ND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NC (2)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ND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(3)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ND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(2)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(2)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Ileitis (2)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 (1) 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Deep venous thrombosis (2)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Furunculosis (2)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(2)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 (1)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Leg ulcers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Unilateral anterior uveitis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Neurobehçet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7596D" w:rsidRPr="000D48B4">
                        <w:tc>
                          <w:tcPr>
                            <w:tcW w:w="4740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6" w:name="__UnoMark__2817_157640006"/>
                            <w:bookmarkEnd w:id="16"/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bookmarkStart w:id="17" w:name="__UnoMark__2818_157640006"/>
                            <w:bookmarkEnd w:id="17"/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Fever (1)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8" w:name="__UnoMark__2819_157640006"/>
                            <w:bookmarkStart w:id="19" w:name="__UnoMark__2820_157640006"/>
                            <w:bookmarkEnd w:id="18"/>
                            <w:bookmarkEnd w:id="19"/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20" w:name="__UnoMark__2821_157640006"/>
                            <w:bookmarkStart w:id="21" w:name="__UnoMark__2822_157640006"/>
                            <w:bookmarkEnd w:id="20"/>
                            <w:bookmarkEnd w:id="21"/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22" w:name="__UnoMark__2823_157640006"/>
                            <w:bookmarkStart w:id="23" w:name="__UnoMark__2824_157640006"/>
                            <w:bookmarkEnd w:id="22"/>
                            <w:bookmarkEnd w:id="23"/>
                            <w:r w:rsidRPr="000D48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24" w:name="__UnoMark__2826_157640006"/>
                            <w:bookmarkStart w:id="25" w:name="__UnoMark__2825_157640006"/>
                            <w:bookmarkEnd w:id="24"/>
                            <w:bookmarkEnd w:id="25"/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26" w:name="__UnoMark__2828_157640006"/>
                            <w:bookmarkStart w:id="27" w:name="__UnoMark__2827_157640006"/>
                            <w:bookmarkEnd w:id="26"/>
                            <w:bookmarkEnd w:id="27"/>
                          </w:p>
                        </w:tc>
                        <w:tc>
                          <w:tcPr>
                            <w:tcW w:w="121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28" w:name="__UnoMark__2830_157640006"/>
                            <w:bookmarkStart w:id="29" w:name="__UnoMark__2829_157640006"/>
                            <w:bookmarkEnd w:id="28"/>
                            <w:bookmarkEnd w:id="29"/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7596D" w:rsidRPr="000D48B4" w:rsidRDefault="00975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30" w:name="__UnoMark__2831_157640006"/>
                            <w:bookmarkEnd w:id="30"/>
                          </w:p>
                        </w:tc>
                      </w:tr>
                    </w:tbl>
                    <w:p w:rsidR="0097596D" w:rsidRDefault="0097596D" w:rsidP="0097596D"/>
                  </w:txbxContent>
                </v:textbox>
                <w10:wrap type="square" anchorx="margin"/>
              </v:shape>
            </w:pict>
          </mc:Fallback>
        </mc:AlternateContent>
      </w: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rPr>
          <w:b/>
          <w:color w:val="FF0000"/>
          <w:sz w:val="20"/>
        </w:rPr>
      </w:pPr>
    </w:p>
    <w:p w:rsidR="0097596D" w:rsidRDefault="0097596D" w:rsidP="0097596D">
      <w:pPr>
        <w:spacing w:line="240" w:lineRule="auto"/>
        <w:rPr>
          <w:b/>
          <w:color w:val="FF0000"/>
          <w:sz w:val="20"/>
        </w:rPr>
      </w:pPr>
    </w:p>
    <w:p w:rsidR="0097596D" w:rsidRDefault="0097596D" w:rsidP="0097596D">
      <w:pPr>
        <w:rPr>
          <w:b/>
          <w:sz w:val="18"/>
        </w:rPr>
      </w:pPr>
      <w:bookmarkStart w:id="31" w:name="_Hlk2006072"/>
    </w:p>
    <w:p w:rsidR="0097596D" w:rsidRDefault="0097596D" w:rsidP="0097596D">
      <w:pPr>
        <w:rPr>
          <w:b/>
          <w:sz w:val="18"/>
        </w:rPr>
      </w:pPr>
    </w:p>
    <w:p w:rsidR="0097596D" w:rsidRDefault="0097596D" w:rsidP="0097596D">
      <w:pPr>
        <w:rPr>
          <w:sz w:val="18"/>
        </w:rPr>
      </w:pPr>
      <w:r>
        <w:rPr>
          <w:b/>
          <w:sz w:val="18"/>
        </w:rPr>
        <w:t>Abbreviations:</w:t>
      </w:r>
      <w:r>
        <w:rPr>
          <w:sz w:val="18"/>
        </w:rPr>
        <w:t xml:space="preserve"> APR= apremilast</w:t>
      </w:r>
      <w:bookmarkEnd w:id="31"/>
      <w:r>
        <w:rPr>
          <w:sz w:val="18"/>
        </w:rPr>
        <w:t xml:space="preserve">; CR= complete remission; </w:t>
      </w:r>
      <w:r>
        <w:rPr>
          <w:rFonts w:eastAsia="Times New Roman"/>
          <w:color w:val="000000"/>
          <w:sz w:val="18"/>
          <w:szCs w:val="20"/>
          <w:lang w:eastAsia="zh-CN"/>
        </w:rPr>
        <w:t xml:space="preserve">IQR: interquartile range; </w:t>
      </w:r>
      <w:r>
        <w:rPr>
          <w:sz w:val="18"/>
        </w:rPr>
        <w:t>n= number of cases; ND= no data available; NC= no changes observed; PR= partial remission</w:t>
      </w:r>
      <w:bookmarkEnd w:id="0"/>
      <w:r>
        <w:rPr>
          <w:sz w:val="18"/>
        </w:rPr>
        <w:t>.</w:t>
      </w:r>
    </w:p>
    <w:p w:rsidR="0097596D" w:rsidRPr="00F82042" w:rsidRDefault="0097596D" w:rsidP="0097596D">
      <w:pPr>
        <w:rPr>
          <w:sz w:val="18"/>
        </w:rPr>
        <w:sectPr w:rsidR="0097596D" w:rsidRPr="00F82042" w:rsidSect="008812EA">
          <w:headerReference w:type="default" r:id="rId4"/>
          <w:pgSz w:w="16838" w:h="11906" w:orient="landscape"/>
          <w:pgMar w:top="1701" w:right="1417" w:bottom="1701" w:left="1417" w:header="708" w:footer="0" w:gutter="0"/>
          <w:lnNumType w:countBy="1" w:restart="continuous"/>
          <w:cols w:space="720"/>
          <w:formProt w:val="0"/>
          <w:docGrid w:linePitch="360" w:charSpace="4096"/>
        </w:sectPr>
      </w:pPr>
      <w:r>
        <w:rPr>
          <w:sz w:val="18"/>
        </w:rPr>
        <w:t>This table should appear also in the section “</w:t>
      </w:r>
      <w:r w:rsidRPr="00D413F7">
        <w:rPr>
          <w:sz w:val="18"/>
        </w:rPr>
        <w:t>Outcomes of orogenital ulcers and other clinical manifestations</w:t>
      </w:r>
      <w:r>
        <w:rPr>
          <w:sz w:val="18"/>
        </w:rPr>
        <w:t>”, near the line 232</w:t>
      </w:r>
      <w:bookmarkStart w:id="32" w:name="_Hlk29032844"/>
      <w:bookmarkStart w:id="33" w:name="_Hlk28365001"/>
      <w:bookmarkEnd w:id="32"/>
      <w:bookmarkEnd w:id="33"/>
      <w:r>
        <w:rPr>
          <w:sz w:val="18"/>
        </w:rPr>
        <w:t>.</w:t>
      </w:r>
    </w:p>
    <w:p w:rsidR="00EB3BB0" w:rsidRDefault="00EB3BB0"/>
    <w:sectPr w:rsidR="00EB3BB0" w:rsidSect="00975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6D" w:rsidRPr="005F6E3B" w:rsidRDefault="0097596D">
    <w:pPr>
      <w:pStyle w:val="Header"/>
    </w:pPr>
    <w:r w:rsidRPr="005F6E3B">
      <w:rPr>
        <w:rFonts w:ascii="Arial" w:hAnsi="Arial" w:cs="Arial"/>
        <w:color w:val="000000"/>
        <w:sz w:val="20"/>
        <w:szCs w:val="20"/>
        <w:lang w:eastAsia="es-ES"/>
      </w:rPr>
      <w:t>Atienza-Mateo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6D"/>
    <w:rsid w:val="0097596D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411A"/>
  <w15:chartTrackingRefBased/>
  <w15:docId w15:val="{650D08FA-8A47-47C6-AA67-DCDE44DF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7596D"/>
  </w:style>
  <w:style w:type="paragraph" w:styleId="Header">
    <w:name w:val="header"/>
    <w:basedOn w:val="Normal"/>
    <w:link w:val="HeaderChar"/>
    <w:uiPriority w:val="99"/>
    <w:unhideWhenUsed/>
    <w:rsid w:val="00975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7596D"/>
  </w:style>
  <w:style w:type="table" w:styleId="TableGrid">
    <w:name w:val="Table Grid"/>
    <w:basedOn w:val="TableNormal"/>
    <w:uiPriority w:val="59"/>
    <w:rsid w:val="0097596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7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2020-05-06T23:35:00Z</dcterms:created>
  <dcterms:modified xsi:type="dcterms:W3CDTF">2020-05-06T23:36:00Z</dcterms:modified>
</cp:coreProperties>
</file>