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F340" w14:textId="77777777" w:rsidR="00117CC0" w:rsidRDefault="00117CC0" w:rsidP="00117CC0">
      <w:pPr>
        <w:spacing w:after="0" w:line="360" w:lineRule="auto"/>
        <w:rPr>
          <w:rFonts w:eastAsia="Arial"/>
          <w:b/>
          <w:color w:val="000000"/>
          <w:lang w:val="en-US"/>
        </w:rPr>
      </w:pPr>
      <w:bookmarkStart w:id="0" w:name="_Hlk38818106"/>
      <w:r>
        <w:rPr>
          <w:rFonts w:eastAsia="Arial"/>
          <w:b/>
          <w:color w:val="000000"/>
          <w:lang w:val="en-US"/>
        </w:rPr>
        <w:t xml:space="preserve">Additional file 1 - Supplementary Table 1. </w:t>
      </w:r>
      <w:bookmarkStart w:id="1" w:name="_Hlk38817854"/>
    </w:p>
    <w:bookmarkEnd w:id="0"/>
    <w:p w14:paraId="29EC9A6B" w14:textId="77777777" w:rsidR="00117CC0" w:rsidRPr="00041345" w:rsidRDefault="00117CC0" w:rsidP="00117CC0">
      <w:pPr>
        <w:spacing w:after="0" w:line="360" w:lineRule="auto"/>
        <w:rPr>
          <w:rFonts w:eastAsia="Arial"/>
          <w:bCs/>
          <w:color w:val="000000"/>
          <w:lang w:val="en-US"/>
        </w:rPr>
      </w:pPr>
      <w:proofErr w:type="spellStart"/>
      <w:r>
        <w:rPr>
          <w:rFonts w:eastAsia="Arial"/>
          <w:color w:val="000000"/>
          <w:lang w:val="en-US"/>
        </w:rPr>
        <w:t>Subanalysis</w:t>
      </w:r>
      <w:proofErr w:type="spellEnd"/>
      <w:r>
        <w:rPr>
          <w:rFonts w:eastAsia="Arial"/>
          <w:color w:val="000000"/>
          <w:lang w:val="en-US"/>
        </w:rPr>
        <w:t xml:space="preserve"> of the features at baseline and follow-up of the groups receiving </w:t>
      </w:r>
      <w:proofErr w:type="spellStart"/>
      <w:r>
        <w:rPr>
          <w:rFonts w:eastAsia="Arial"/>
          <w:color w:val="000000"/>
          <w:lang w:val="en-US"/>
        </w:rPr>
        <w:t>apremilast</w:t>
      </w:r>
      <w:proofErr w:type="spellEnd"/>
      <w:r>
        <w:rPr>
          <w:rFonts w:eastAsia="Arial"/>
          <w:color w:val="000000"/>
          <w:lang w:val="en-US"/>
        </w:rPr>
        <w:t xml:space="preserve"> (APR) in monotherapy vs in combination with synthetic/biological drugs. </w:t>
      </w:r>
    </w:p>
    <w:bookmarkEnd w:id="1"/>
    <w:tbl>
      <w:tblPr>
        <w:tblW w:w="9735" w:type="dxa"/>
        <w:tblInd w:w="-608" w:type="dxa"/>
        <w:tblBorders>
          <w:bottom w:val="single" w:sz="4" w:space="0" w:color="000001"/>
          <w:insideH w:val="single" w:sz="4" w:space="0" w:color="000001"/>
        </w:tblBorders>
        <w:tblLook w:val="0400" w:firstRow="0" w:lastRow="0" w:firstColumn="0" w:lastColumn="0" w:noHBand="0" w:noVBand="1"/>
      </w:tblPr>
      <w:tblGrid>
        <w:gridCol w:w="4784"/>
        <w:gridCol w:w="1696"/>
        <w:gridCol w:w="1547"/>
        <w:gridCol w:w="191"/>
        <w:gridCol w:w="1517"/>
      </w:tblGrid>
      <w:tr w:rsidR="00117CC0" w14:paraId="68F57D98" w14:textId="77777777" w:rsidTr="007440D3">
        <w:trPr>
          <w:trHeight w:val="24"/>
        </w:trPr>
        <w:tc>
          <w:tcPr>
            <w:tcW w:w="478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4ECCF3D" w14:textId="77777777" w:rsidR="00117CC0" w:rsidRDefault="00117CC0" w:rsidP="007440D3">
            <w:pPr>
              <w:spacing w:after="0" w:line="25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3BD7453B" w14:textId="77777777" w:rsidR="00117CC0" w:rsidRDefault="00117CC0" w:rsidP="007440D3">
            <w:pPr>
              <w:spacing w:after="0" w:line="240" w:lineRule="auto"/>
              <w:rPr>
                <w:rFonts w:eastAsia="Arial"/>
                <w:b/>
                <w:sz w:val="18"/>
                <w:szCs w:val="18"/>
              </w:rPr>
            </w:pPr>
            <w:proofErr w:type="spellStart"/>
            <w:r>
              <w:rPr>
                <w:rFonts w:eastAsia="Arial"/>
                <w:b/>
                <w:sz w:val="18"/>
                <w:szCs w:val="18"/>
              </w:rPr>
              <w:t>Combined</w:t>
            </w:r>
            <w:proofErr w:type="spellEnd"/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4C87BBD4" w14:textId="77777777" w:rsidR="00117CC0" w:rsidRDefault="00117CC0" w:rsidP="007440D3">
            <w:pPr>
              <w:spacing w:after="0" w:line="240" w:lineRule="auto"/>
              <w:rPr>
                <w:rFonts w:eastAsia="Arial"/>
                <w:b/>
                <w:sz w:val="18"/>
                <w:szCs w:val="18"/>
              </w:rPr>
            </w:pPr>
            <w:proofErr w:type="spellStart"/>
            <w:r>
              <w:rPr>
                <w:rFonts w:eastAsia="Arial"/>
                <w:b/>
                <w:sz w:val="18"/>
                <w:szCs w:val="18"/>
              </w:rPr>
              <w:t>group</w:t>
            </w:r>
            <w:proofErr w:type="spellEnd"/>
          </w:p>
          <w:p w14:paraId="0E3D943A" w14:textId="77777777" w:rsidR="00117CC0" w:rsidRDefault="00117CC0" w:rsidP="007440D3">
            <w:pPr>
              <w:spacing w:after="0" w:line="252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(N=20)</w:t>
            </w:r>
          </w:p>
        </w:tc>
        <w:tc>
          <w:tcPr>
            <w:tcW w:w="1547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B6C313C" w14:textId="77777777" w:rsidR="00117CC0" w:rsidRDefault="00117CC0" w:rsidP="007440D3">
            <w:pPr>
              <w:spacing w:after="0" w:line="252" w:lineRule="auto"/>
              <w:rPr>
                <w:rFonts w:eastAsia="Arial"/>
                <w:b/>
                <w:sz w:val="18"/>
                <w:szCs w:val="18"/>
              </w:rPr>
            </w:pPr>
            <w:proofErr w:type="spellStart"/>
            <w:r>
              <w:rPr>
                <w:rFonts w:eastAsia="Arial"/>
                <w:b/>
                <w:sz w:val="18"/>
                <w:szCs w:val="18"/>
              </w:rPr>
              <w:t>Monotherapy</w:t>
            </w:r>
            <w:proofErr w:type="spellEnd"/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8"/>
                <w:szCs w:val="18"/>
              </w:rPr>
              <w:t>group</w:t>
            </w:r>
            <w:proofErr w:type="spellEnd"/>
          </w:p>
          <w:p w14:paraId="30A9C588" w14:textId="77777777" w:rsidR="00117CC0" w:rsidRDefault="00117CC0" w:rsidP="007440D3">
            <w:pPr>
              <w:spacing w:after="0" w:line="252" w:lineRule="auto"/>
              <w:ind w:left="299" w:hanging="283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(N=31)</w:t>
            </w:r>
          </w:p>
        </w:tc>
        <w:tc>
          <w:tcPr>
            <w:tcW w:w="1708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14:paraId="7C0BBA42" w14:textId="77777777" w:rsidR="00117CC0" w:rsidRDefault="00117CC0" w:rsidP="007440D3">
            <w:pPr>
              <w:spacing w:after="0" w:line="252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b/>
                <w:sz w:val="18"/>
                <w:szCs w:val="18"/>
              </w:rPr>
              <w:t>p</w:t>
            </w:r>
          </w:p>
        </w:tc>
      </w:tr>
      <w:tr w:rsidR="00117CC0" w14:paraId="5975B411" w14:textId="77777777" w:rsidTr="007440D3">
        <w:trPr>
          <w:trHeight w:val="292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E027BB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Age, mean (SD) </w:t>
            </w:r>
            <w:proofErr w:type="spellStart"/>
            <w:r>
              <w:rPr>
                <w:rFonts w:eastAsia="Arial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E60FFE9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46.1 (12.6)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A46525A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43.8 (13.8)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6D23630" w14:textId="77777777" w:rsidR="00117CC0" w:rsidRDefault="00117CC0" w:rsidP="007440D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18"/>
                <w:szCs w:val="18"/>
              </w:rPr>
              <w:t>0.65</w:t>
            </w:r>
          </w:p>
        </w:tc>
      </w:tr>
      <w:tr w:rsidR="00117CC0" w14:paraId="66617243" w14:textId="77777777" w:rsidTr="007440D3">
        <w:trPr>
          <w:trHeight w:val="292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89C7D8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Sex, men/women, n/n</w:t>
            </w:r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7C470E1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7/13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62B1F30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9/22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F5837CD" w14:textId="77777777" w:rsidR="00117CC0" w:rsidRDefault="00117CC0" w:rsidP="007440D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18"/>
                <w:szCs w:val="18"/>
              </w:rPr>
              <w:t>0.68</w:t>
            </w:r>
          </w:p>
        </w:tc>
      </w:tr>
      <w:tr w:rsidR="00117CC0" w14:paraId="0D9E2ED8" w14:textId="77777777" w:rsidTr="007440D3">
        <w:trPr>
          <w:trHeight w:val="292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369566C" w14:textId="77777777" w:rsidR="00117CC0" w:rsidRDefault="00117CC0" w:rsidP="007440D3">
            <w:pPr>
              <w:widowControl w:val="0"/>
              <w:spacing w:after="0" w:line="252" w:lineRule="auto"/>
              <w:rPr>
                <w:rFonts w:eastAsia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  <w:lang w:val="en-US"/>
              </w:rPr>
              <w:t>Months with Behçet disease before APR, mean (SD)</w:t>
            </w:r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253E28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86.1 (82.6)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CE64F7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81.1 (72.9)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0428CD" w14:textId="77777777" w:rsidR="00117CC0" w:rsidRDefault="00117CC0" w:rsidP="007440D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18"/>
                <w:szCs w:val="18"/>
              </w:rPr>
              <w:t>0.52</w:t>
            </w:r>
          </w:p>
        </w:tc>
      </w:tr>
      <w:tr w:rsidR="00117CC0" w14:paraId="6CBFA1B5" w14:textId="77777777" w:rsidTr="007440D3">
        <w:trPr>
          <w:trHeight w:val="156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77DD6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Treatment before APR onset, (%)</w:t>
            </w:r>
          </w:p>
          <w:p w14:paraId="79747B9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Oral glucocorticoids</w:t>
            </w:r>
          </w:p>
          <w:p w14:paraId="04B6809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Colchicine</w:t>
            </w:r>
          </w:p>
          <w:p w14:paraId="6870CD64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NSAIDs</w:t>
            </w:r>
          </w:p>
          <w:p w14:paraId="4A8464AC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Methotrexate</w:t>
            </w:r>
          </w:p>
          <w:p w14:paraId="5416F12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Azathioprine</w:t>
            </w:r>
          </w:p>
          <w:p w14:paraId="0F2F2B42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Adalimumab</w:t>
            </w:r>
          </w:p>
          <w:p w14:paraId="1F9B49A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Infliximab</w:t>
            </w:r>
          </w:p>
          <w:p w14:paraId="2364B0B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Arial"/>
                <w:sz w:val="18"/>
                <w:szCs w:val="18"/>
              </w:rPr>
              <w:t>Tocilizumab</w:t>
            </w:r>
          </w:p>
          <w:p w14:paraId="68DBD5F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eastAsia="Arial"/>
                <w:sz w:val="18"/>
                <w:szCs w:val="18"/>
              </w:rPr>
              <w:t>Other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</w:rPr>
              <w:t>treatments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4AC1FC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6A4BCDD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  <w:p w14:paraId="7925767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  <w:p w14:paraId="2D3DC11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53</w:t>
            </w:r>
          </w:p>
          <w:p w14:paraId="35265D50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55</w:t>
            </w:r>
          </w:p>
          <w:p w14:paraId="1BD68F7F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</w:t>
            </w:r>
          </w:p>
          <w:p w14:paraId="114BAEE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</w:t>
            </w:r>
          </w:p>
          <w:p w14:paraId="1F820E3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</w:t>
            </w:r>
          </w:p>
          <w:p w14:paraId="5B6736B4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</w:t>
            </w:r>
          </w:p>
          <w:p w14:paraId="21AA8D7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65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702655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21F6F3F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90</w:t>
            </w:r>
          </w:p>
          <w:p w14:paraId="19FAA63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97</w:t>
            </w:r>
          </w:p>
          <w:p w14:paraId="3FC6A6F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</w:t>
            </w:r>
          </w:p>
          <w:p w14:paraId="4300A45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</w:t>
            </w:r>
          </w:p>
          <w:p w14:paraId="0AAE013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</w:t>
            </w:r>
          </w:p>
          <w:p w14:paraId="5072544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</w:t>
            </w:r>
          </w:p>
          <w:p w14:paraId="4D172C50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</w:t>
            </w:r>
          </w:p>
          <w:p w14:paraId="0D0BC5B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3.2</w:t>
            </w:r>
          </w:p>
          <w:p w14:paraId="17ACD05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42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BC1E27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0.15</w:t>
            </w:r>
          </w:p>
          <w:p w14:paraId="381AAE6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0.42</w:t>
            </w:r>
          </w:p>
          <w:p w14:paraId="72A25D57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0.38</w:t>
            </w:r>
          </w:p>
          <w:p w14:paraId="59E3D95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0.81</w:t>
            </w:r>
          </w:p>
          <w:p w14:paraId="151535C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0.81</w:t>
            </w:r>
          </w:p>
          <w:p w14:paraId="69BCA0A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0.41</w:t>
            </w:r>
          </w:p>
          <w:p w14:paraId="046B2712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0.13</w:t>
            </w:r>
          </w:p>
          <w:p w14:paraId="1DC68434" w14:textId="77777777" w:rsidR="00117CC0" w:rsidRDefault="00117CC0" w:rsidP="007440D3">
            <w:pPr>
              <w:spacing w:after="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0.049</w:t>
            </w:r>
          </w:p>
          <w:p w14:paraId="63CA8E3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0.27</w:t>
            </w:r>
          </w:p>
        </w:tc>
      </w:tr>
      <w:tr w:rsidR="00117CC0" w14:paraId="7DF7CE06" w14:textId="77777777" w:rsidTr="007440D3">
        <w:trPr>
          <w:trHeight w:val="35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AB9E02" w14:textId="77777777" w:rsidR="00117CC0" w:rsidRDefault="00117CC0" w:rsidP="007440D3">
            <w:pPr>
              <w:spacing w:after="0"/>
              <w:rPr>
                <w:rFonts w:eastAsia="Arial"/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Main clinical symptoms for starting APR, n (%)</w:t>
            </w:r>
          </w:p>
          <w:p w14:paraId="68D972F0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Arial"/>
                <w:sz w:val="18"/>
                <w:szCs w:val="18"/>
              </w:rPr>
              <w:t xml:space="preserve">Oral </w:t>
            </w:r>
            <w:proofErr w:type="spellStart"/>
            <w:r>
              <w:rPr>
                <w:rFonts w:eastAsia="Arial"/>
                <w:sz w:val="18"/>
                <w:szCs w:val="18"/>
              </w:rPr>
              <w:t>ulcers</w:t>
            </w:r>
            <w:proofErr w:type="spellEnd"/>
          </w:p>
          <w:p w14:paraId="791B549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Genital </w:t>
            </w:r>
            <w:proofErr w:type="spellStart"/>
            <w:r>
              <w:rPr>
                <w:rFonts w:eastAsia="Arial"/>
                <w:sz w:val="18"/>
                <w:szCs w:val="18"/>
              </w:rPr>
              <w:t>ulcers</w:t>
            </w:r>
            <w:proofErr w:type="spellEnd"/>
          </w:p>
          <w:p w14:paraId="2888811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Oral and genital </w:t>
            </w:r>
            <w:proofErr w:type="spellStart"/>
            <w:r>
              <w:rPr>
                <w:rFonts w:eastAsia="Arial"/>
                <w:sz w:val="18"/>
                <w:szCs w:val="18"/>
              </w:rPr>
              <w:t>ulcers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7CE1D2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 (30)</w:t>
            </w:r>
          </w:p>
          <w:p w14:paraId="59418FC0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 (5)</w:t>
            </w:r>
          </w:p>
          <w:p w14:paraId="43349B22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 (65)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4302DC9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 (42)</w:t>
            </w:r>
          </w:p>
          <w:p w14:paraId="575947F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 (3)</w:t>
            </w:r>
          </w:p>
          <w:p w14:paraId="172AC7A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 (55)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3AA50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67DA5A2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0.67</w:t>
            </w:r>
          </w:p>
          <w:p w14:paraId="3EC09A9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</w:tc>
      </w:tr>
      <w:tr w:rsidR="00117CC0" w14:paraId="246C1D77" w14:textId="77777777" w:rsidTr="007440D3">
        <w:trPr>
          <w:trHeight w:val="35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A7B258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Prednisone dose at APR onset, median [IQR], mg/d</w:t>
            </w:r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A719EAE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 [10-20]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3E14257" w14:textId="77777777" w:rsidR="00117CC0" w:rsidRDefault="00117CC0" w:rsidP="007440D3">
            <w:pPr>
              <w:spacing w:line="252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 [5-20]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3BAE83C" w14:textId="77777777" w:rsidR="00117CC0" w:rsidRDefault="00117CC0" w:rsidP="007440D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sz w:val="18"/>
                <w:szCs w:val="18"/>
              </w:rPr>
              <w:t>0.87</w:t>
            </w:r>
          </w:p>
        </w:tc>
      </w:tr>
      <w:tr w:rsidR="00117CC0" w14:paraId="786E6FBB" w14:textId="77777777" w:rsidTr="007440D3">
        <w:trPr>
          <w:trHeight w:val="992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B325A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Concomitant treatment</w:t>
            </w:r>
          </w:p>
          <w:p w14:paraId="0DB7BC07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Oral glucocorticoids, n (%)</w:t>
            </w:r>
          </w:p>
          <w:p w14:paraId="5CB51BE7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Colchicine, n (%)</w:t>
            </w:r>
          </w:p>
          <w:p w14:paraId="2AFC521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NSAIDs, n (%)</w:t>
            </w:r>
          </w:p>
          <w:p w14:paraId="2CE55E9F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Azathioprine, n</w:t>
            </w:r>
          </w:p>
          <w:p w14:paraId="766BCAA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Methotrexate, n</w:t>
            </w:r>
          </w:p>
          <w:p w14:paraId="204B7C02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Hydroxychloroquine, n</w:t>
            </w:r>
          </w:p>
          <w:p w14:paraId="0AE129E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Sulfasalazine, n</w:t>
            </w:r>
          </w:p>
          <w:p w14:paraId="7B104559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</w:t>
            </w:r>
            <w:proofErr w:type="spellStart"/>
            <w:r>
              <w:rPr>
                <w:rFonts w:eastAsia="Arial"/>
                <w:sz w:val="18"/>
                <w:szCs w:val="18"/>
              </w:rPr>
              <w:t>Dapsone</w:t>
            </w:r>
            <w:proofErr w:type="spellEnd"/>
            <w:r>
              <w:rPr>
                <w:rFonts w:eastAsia="Arial"/>
                <w:sz w:val="18"/>
                <w:szCs w:val="18"/>
              </w:rPr>
              <w:t>, n</w:t>
            </w:r>
          </w:p>
          <w:p w14:paraId="3A41526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Tocilizumab, n</w:t>
            </w:r>
          </w:p>
          <w:p w14:paraId="770328FC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eastAsia="Arial"/>
                <w:sz w:val="18"/>
                <w:szCs w:val="18"/>
              </w:rPr>
              <w:t>Infliximab</w:t>
            </w:r>
            <w:proofErr w:type="spellEnd"/>
            <w:r>
              <w:rPr>
                <w:rFonts w:eastAsia="Arial"/>
                <w:sz w:val="18"/>
                <w:szCs w:val="18"/>
              </w:rPr>
              <w:t>, n</w:t>
            </w:r>
          </w:p>
          <w:p w14:paraId="4F48372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eastAsia="Arial"/>
                <w:sz w:val="18"/>
                <w:szCs w:val="18"/>
              </w:rPr>
              <w:t>Adalimumab</w:t>
            </w:r>
            <w:proofErr w:type="spellEnd"/>
            <w:r>
              <w:rPr>
                <w:rFonts w:eastAsia="Arial"/>
                <w:sz w:val="18"/>
                <w:szCs w:val="18"/>
              </w:rPr>
              <w:t>, n</w:t>
            </w:r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07859F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 (65)</w:t>
            </w:r>
          </w:p>
          <w:p w14:paraId="442106B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 (55)</w:t>
            </w:r>
          </w:p>
          <w:p w14:paraId="420A8E97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 (25)</w:t>
            </w:r>
          </w:p>
          <w:p w14:paraId="2A0D0BF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  <w:p w14:paraId="5191367C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  <w:p w14:paraId="4AE4038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  <w:p w14:paraId="2867E24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  <w:p w14:paraId="34618DC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  <w:p w14:paraId="1D88AAB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  <w:p w14:paraId="1F08FFE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  <w:p w14:paraId="374DEBD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35DE71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 (48)</w:t>
            </w:r>
          </w:p>
          <w:p w14:paraId="0477D9A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 (45)</w:t>
            </w:r>
          </w:p>
          <w:p w14:paraId="04E5327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 (32)</w:t>
            </w:r>
          </w:p>
          <w:p w14:paraId="67CD901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541D972C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0E3D648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6445637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55055AF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498093CC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64B2C48F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14:paraId="392B9EC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97729A9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0.16</w:t>
            </w:r>
          </w:p>
          <w:p w14:paraId="4B860B6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0.38</w:t>
            </w:r>
          </w:p>
          <w:p w14:paraId="7070C53C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0.57</w:t>
            </w:r>
          </w:p>
          <w:p w14:paraId="314B85EF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395DF479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647886D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7ED9F1D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0A1FE27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043F671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0F61B25F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3204AD0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</w:tc>
      </w:tr>
      <w:tr w:rsidR="00117CC0" w14:paraId="09BD5922" w14:textId="77777777" w:rsidTr="007440D3">
        <w:trPr>
          <w:trHeight w:val="318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C14DBF" w14:textId="77777777" w:rsidR="00117CC0" w:rsidRDefault="00117CC0" w:rsidP="007440D3">
            <w:pPr>
              <w:spacing w:after="0"/>
              <w:rPr>
                <w:rFonts w:eastAsia="Arial"/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Follow-up on APR therapy, mean (SD), months</w:t>
            </w:r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D0791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9.3 (7.8)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C360D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7.8 (6.3)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671C8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0.31</w:t>
            </w:r>
          </w:p>
        </w:tc>
      </w:tr>
      <w:tr w:rsidR="00117CC0" w14:paraId="47050B75" w14:textId="77777777" w:rsidTr="007440D3">
        <w:trPr>
          <w:trHeight w:val="318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111FC7" w14:textId="77777777" w:rsidR="00117CC0" w:rsidRDefault="00117CC0" w:rsidP="007440D3">
            <w:pPr>
              <w:spacing w:after="0"/>
              <w:rPr>
                <w:rFonts w:eastAsia="Arial"/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Side effects, (%)</w:t>
            </w:r>
          </w:p>
          <w:p w14:paraId="6BFCF87F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Diarrhea</w:t>
            </w:r>
          </w:p>
          <w:p w14:paraId="62D60CD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Dyspepsia</w:t>
            </w:r>
          </w:p>
          <w:p w14:paraId="48B81CF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Headache</w:t>
            </w:r>
          </w:p>
          <w:p w14:paraId="5A3C807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Nausea</w:t>
            </w:r>
          </w:p>
          <w:p w14:paraId="5E19CA78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Arial"/>
                <w:sz w:val="18"/>
                <w:szCs w:val="18"/>
              </w:rPr>
              <w:t xml:space="preserve">Abdominal </w:t>
            </w:r>
            <w:proofErr w:type="spellStart"/>
            <w:r>
              <w:rPr>
                <w:rFonts w:eastAsia="Arial"/>
                <w:sz w:val="18"/>
                <w:szCs w:val="18"/>
              </w:rPr>
              <w:t>pain</w:t>
            </w:r>
            <w:proofErr w:type="spellEnd"/>
          </w:p>
          <w:p w14:paraId="1E794AF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eastAsia="Arial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3EAD3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3588FB7D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</w:t>
            </w:r>
          </w:p>
          <w:p w14:paraId="6324CDB0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</w:t>
            </w:r>
          </w:p>
          <w:p w14:paraId="15F3CCA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26.3</w:t>
            </w:r>
          </w:p>
          <w:p w14:paraId="44FE0159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10.5</w:t>
            </w:r>
          </w:p>
          <w:p w14:paraId="5F868A66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10.5</w:t>
            </w:r>
          </w:p>
          <w:p w14:paraId="4778477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599277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4354C5F5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</w:t>
            </w:r>
          </w:p>
          <w:p w14:paraId="263B230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</w:t>
            </w:r>
          </w:p>
          <w:p w14:paraId="45BC2B12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13.3</w:t>
            </w:r>
          </w:p>
          <w:p w14:paraId="5ECD35B7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33.3</w:t>
            </w:r>
          </w:p>
          <w:p w14:paraId="0192A81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6.7</w:t>
            </w:r>
          </w:p>
          <w:p w14:paraId="72464DF1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19.4</w:t>
            </w:r>
          </w:p>
        </w:tc>
        <w:tc>
          <w:tcPr>
            <w:tcW w:w="15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29187B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</w:p>
          <w:p w14:paraId="599CE459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0.85</w:t>
            </w:r>
          </w:p>
          <w:p w14:paraId="72F116F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0.92</w:t>
            </w:r>
          </w:p>
          <w:p w14:paraId="260B5D33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0.25</w:t>
            </w:r>
          </w:p>
          <w:p w14:paraId="1D03220E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0.07</w:t>
            </w:r>
          </w:p>
          <w:p w14:paraId="1C3E333A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0.63</w:t>
            </w:r>
          </w:p>
          <w:p w14:paraId="193FFE22" w14:textId="77777777" w:rsidR="00117CC0" w:rsidRDefault="00117CC0" w:rsidP="007440D3">
            <w:pPr>
              <w:spacing w:after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0.62</w:t>
            </w:r>
          </w:p>
        </w:tc>
      </w:tr>
    </w:tbl>
    <w:p w14:paraId="2B06BCFD" w14:textId="1567F7D5" w:rsidR="00433BC8" w:rsidRPr="00117CC0" w:rsidRDefault="00117CC0" w:rsidP="00117CC0">
      <w:pPr>
        <w:spacing w:after="0"/>
        <w:ind w:left="-567" w:right="-568"/>
        <w:rPr>
          <w:lang w:val="en-US"/>
        </w:rPr>
      </w:pPr>
      <w:r>
        <w:rPr>
          <w:rFonts w:eastAsia="Times New Roman"/>
          <w:color w:val="000000"/>
          <w:sz w:val="18"/>
          <w:szCs w:val="20"/>
          <w:lang w:val="en-US" w:eastAsia="zh-CN"/>
        </w:rPr>
        <w:t>Results are expressed as mean ± standard deviation (SD), median [interquartile range: IQR] or as number (percentage: %), depending on the variable analyzed.</w:t>
      </w:r>
    </w:p>
    <w:sectPr w:rsidR="00433BC8" w:rsidRPr="00117CC0" w:rsidSect="00117C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E929" w14:textId="77777777" w:rsidR="000778EE" w:rsidRDefault="000778EE">
      <w:pPr>
        <w:spacing w:after="0" w:line="240" w:lineRule="auto"/>
      </w:pPr>
      <w:r>
        <w:separator/>
      </w:r>
    </w:p>
  </w:endnote>
  <w:endnote w:type="continuationSeparator" w:id="0">
    <w:p w14:paraId="5BA34BBB" w14:textId="77777777" w:rsidR="000778EE" w:rsidRDefault="000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7584" w14:textId="77777777" w:rsidR="000778EE" w:rsidRDefault="000778EE">
      <w:pPr>
        <w:spacing w:after="0" w:line="240" w:lineRule="auto"/>
      </w:pPr>
      <w:r>
        <w:separator/>
      </w:r>
    </w:p>
  </w:footnote>
  <w:footnote w:type="continuationSeparator" w:id="0">
    <w:p w14:paraId="5D084FCD" w14:textId="77777777" w:rsidR="000778EE" w:rsidRDefault="000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E79F" w14:textId="0C9AE24C" w:rsidR="0031202B" w:rsidRPr="000459AF" w:rsidRDefault="00117CC0">
    <w:pPr>
      <w:pStyle w:val="Encabezado"/>
      <w:rPr>
        <w:rFonts w:ascii="Arial" w:hAnsi="Arial" w:cs="Arial"/>
        <w:color w:val="000000"/>
        <w:sz w:val="20"/>
        <w:szCs w:val="20"/>
        <w:lang w:eastAsia="es-ES"/>
      </w:rPr>
    </w:pPr>
    <w:r w:rsidRPr="000459AF">
      <w:rPr>
        <w:rFonts w:ascii="Arial" w:hAnsi="Arial" w:cs="Arial"/>
        <w:color w:val="000000"/>
        <w:sz w:val="20"/>
        <w:szCs w:val="20"/>
        <w:lang w:eastAsia="es-ES"/>
      </w:rPr>
      <w:t>Atienza-Mateo et al</w:t>
    </w:r>
    <w:r w:rsidR="000459AF" w:rsidRPr="000459AF">
      <w:rPr>
        <w:rFonts w:ascii="Arial" w:hAnsi="Arial" w:cs="Arial"/>
        <w:color w:val="000000"/>
        <w:sz w:val="20"/>
        <w:szCs w:val="20"/>
        <w:lang w:eastAsia="es-E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15"/>
    <w:rsid w:val="000459AF"/>
    <w:rsid w:val="000778EE"/>
    <w:rsid w:val="00117CC0"/>
    <w:rsid w:val="00433BC8"/>
    <w:rsid w:val="008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EF39"/>
  <w15:chartTrackingRefBased/>
  <w15:docId w15:val="{ACF366DE-278A-4E3C-8815-B0C3A3E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17CC0"/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117CC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117CC0"/>
  </w:style>
  <w:style w:type="paragraph" w:styleId="Piedepgina">
    <w:name w:val="footer"/>
    <w:basedOn w:val="Normal"/>
    <w:link w:val="PiedepginaCar"/>
    <w:uiPriority w:val="99"/>
    <w:unhideWhenUsed/>
    <w:rsid w:val="00045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Atienza Mateo</dc:creator>
  <cp:keywords/>
  <dc:description/>
  <cp:lastModifiedBy>Belén Atienza Mateo</cp:lastModifiedBy>
  <cp:revision>3</cp:revision>
  <dcterms:created xsi:type="dcterms:W3CDTF">2020-04-26T16:31:00Z</dcterms:created>
  <dcterms:modified xsi:type="dcterms:W3CDTF">2020-04-26T16:35:00Z</dcterms:modified>
</cp:coreProperties>
</file>