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12C" w:rsidRDefault="00E0412C" w:rsidP="00E0412C">
      <w:r w:rsidRPr="007A2E4C">
        <w:rPr>
          <w:b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-527685</wp:posOffset>
            </wp:positionV>
            <wp:extent cx="9467850" cy="6145530"/>
            <wp:effectExtent l="19050" t="0" r="0" b="0"/>
            <wp:wrapTopAndBottom/>
            <wp:docPr id="3" name="Picture 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91" t="6519" r="2112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E4C">
        <w:rPr>
          <w:b/>
        </w:rPr>
        <w:t>S Figure 1</w:t>
      </w:r>
      <w:r>
        <w:t>: Different Cut site analysis of SARS COV-2 spike glycoprotein</w:t>
      </w:r>
    </w:p>
    <w:p w:rsidR="00E0412C" w:rsidRDefault="00B87486" w:rsidP="00E0412C">
      <w:r w:rsidRPr="007A2E4C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-369570</wp:posOffset>
            </wp:positionV>
            <wp:extent cx="8992870" cy="6035040"/>
            <wp:effectExtent l="19050" t="0" r="0" b="0"/>
            <wp:wrapTopAndBottom/>
            <wp:docPr id="2" name="Picture 2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76" t="7383" r="4193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87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E4C" w:rsidRPr="007A2E4C">
        <w:rPr>
          <w:b/>
        </w:rPr>
        <w:t xml:space="preserve"> </w:t>
      </w:r>
      <w:r w:rsidR="00E0412C" w:rsidRPr="007A2E4C">
        <w:rPr>
          <w:b/>
        </w:rPr>
        <w:t>Figure 2:</w:t>
      </w:r>
      <w:r w:rsidR="00E0412C">
        <w:t xml:space="preserve"> Binding interaction site analysis between Cut 1,2,3,4 and ACE </w:t>
      </w:r>
      <w:proofErr w:type="gramStart"/>
      <w:r w:rsidR="00E0412C">
        <w:t>Receptor .</w:t>
      </w:r>
      <w:proofErr w:type="gramEnd"/>
    </w:p>
    <w:p w:rsidR="00C046D0" w:rsidRDefault="00282FD2">
      <w:r w:rsidRPr="00282FD2"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-571500</wp:posOffset>
            </wp:positionV>
            <wp:extent cx="8720455" cy="5880735"/>
            <wp:effectExtent l="19050" t="0" r="4445" b="0"/>
            <wp:wrapTopAndBottom/>
            <wp:docPr id="1" name="Picture 3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9" t="6707" r="4517" b="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55" cy="58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F5D" w:rsidRPr="00586F5D">
        <w:t xml:space="preserve"> </w:t>
      </w:r>
      <w:r w:rsidR="00586F5D" w:rsidRPr="007A2E4C">
        <w:rPr>
          <w:b/>
        </w:rPr>
        <w:t>S</w:t>
      </w:r>
      <w:r w:rsidR="00E965CD" w:rsidRPr="007A2E4C">
        <w:rPr>
          <w:b/>
        </w:rPr>
        <w:t xml:space="preserve"> Figure 3</w:t>
      </w:r>
      <w:r w:rsidR="00586F5D">
        <w:t xml:space="preserve">: Depicts the binding sites for Cut 4 Main </w:t>
      </w:r>
      <w:proofErr w:type="spellStart"/>
      <w:r w:rsidR="00586F5D">
        <w:t>unmutated</w:t>
      </w:r>
      <w:proofErr w:type="spellEnd"/>
      <w:r w:rsidR="00586F5D">
        <w:t xml:space="preserve"> with ACE 2 receptor and the resultant interaction in the case of Single Mutation,</w:t>
      </w:r>
      <w:r w:rsidR="009C0DF6">
        <w:t xml:space="preserve"> </w:t>
      </w:r>
      <w:r w:rsidR="00586F5D">
        <w:t>Double Mutation and Triple mutation induced in Cut 4 with the same.</w:t>
      </w:r>
    </w:p>
    <w:sectPr w:rsidR="00C046D0" w:rsidSect="00E0412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D763DC"/>
    <w:rsid w:val="00031E02"/>
    <w:rsid w:val="00072D52"/>
    <w:rsid w:val="0013657A"/>
    <w:rsid w:val="00282FD2"/>
    <w:rsid w:val="0033109F"/>
    <w:rsid w:val="00586F5D"/>
    <w:rsid w:val="006415D7"/>
    <w:rsid w:val="00704B29"/>
    <w:rsid w:val="0077769B"/>
    <w:rsid w:val="007A2E4C"/>
    <w:rsid w:val="009C0DF6"/>
    <w:rsid w:val="00B87486"/>
    <w:rsid w:val="00C046D0"/>
    <w:rsid w:val="00C260A6"/>
    <w:rsid w:val="00C66D6C"/>
    <w:rsid w:val="00D763DC"/>
    <w:rsid w:val="00D97EE7"/>
    <w:rsid w:val="00DE1156"/>
    <w:rsid w:val="00E0412C"/>
    <w:rsid w:val="00E92EEF"/>
    <w:rsid w:val="00E965CD"/>
    <w:rsid w:val="00ED590C"/>
    <w:rsid w:val="00F10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Amrita Banerjee</dc:creator>
  <cp:lastModifiedBy>Computer</cp:lastModifiedBy>
  <cp:revision>7</cp:revision>
  <dcterms:created xsi:type="dcterms:W3CDTF">2021-01-17T05:08:00Z</dcterms:created>
  <dcterms:modified xsi:type="dcterms:W3CDTF">2021-01-26T14:55:00Z</dcterms:modified>
</cp:coreProperties>
</file>