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69D6" w:rsidRDefault="007469D6" w:rsidP="007469D6">
      <w:pPr>
        <w:spacing w:after="0" w:line="48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bookmarkStart w:id="0" w:name="_GoBack"/>
      <w:bookmarkEnd w:id="0"/>
    </w:p>
    <w:p w:rsidR="007469D6" w:rsidRPr="000E78C4" w:rsidRDefault="007469D6" w:rsidP="007469D6">
      <w:pPr>
        <w:spacing w:after="0" w:line="480" w:lineRule="auto"/>
        <w:rPr>
          <w:rFonts w:ascii="Times New Roman" w:hAnsi="Times New Roman" w:cs="Times New Roman"/>
          <w:sz w:val="24"/>
          <w:szCs w:val="24"/>
          <w:lang w:val="en-US"/>
        </w:rPr>
      </w:pPr>
      <w:r w:rsidRPr="000E78C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E78C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drawing>
          <wp:inline distT="0" distB="0" distL="0" distR="0" wp14:anchorId="643A56BC" wp14:editId="2D1E4A0F">
            <wp:extent cx="4248150" cy="4191000"/>
            <wp:effectExtent l="0" t="0" r="0" b="0"/>
            <wp:docPr id="1" name="Picture 1" descr="U:\KU\Paper1-sheep\Figure rearrange\Supplementary 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KU\Paper1-sheep\Figure rearrange\Supplementary Figure 1.png"/>
                    <pic:cNvPicPr>
                      <a:picLocks noChangeAspect="1" noChangeArrowheads="1"/>
                    </pic:cNvPicPr>
                  </pic:nvPicPr>
                  <pic:blipFill rotWithShape="1">
                    <a:blip r:embed="rId4">
                      <a:extLst>
                        <a:ext uri="{28A0092B-C50C-407E-A947-70E740481C1C}">
                          <a14:useLocalDpi xmlns:a14="http://schemas.microsoft.com/office/drawing/2010/main" val="0"/>
                        </a:ext>
                      </a:extLst>
                    </a:blip>
                    <a:srcRect l="5568" t="5172"/>
                    <a:stretch/>
                  </pic:blipFill>
                  <pic:spPr bwMode="auto">
                    <a:xfrm>
                      <a:off x="0" y="0"/>
                      <a:ext cx="4248150" cy="4191000"/>
                    </a:xfrm>
                    <a:prstGeom prst="rect">
                      <a:avLst/>
                    </a:prstGeom>
                    <a:noFill/>
                    <a:ln>
                      <a:noFill/>
                    </a:ln>
                    <a:extLst>
                      <a:ext uri="{53640926-AAD7-44D8-BBD7-CCE9431645EC}">
                        <a14:shadowObscured xmlns:a14="http://schemas.microsoft.com/office/drawing/2010/main"/>
                      </a:ext>
                    </a:extLst>
                  </pic:spPr>
                </pic:pic>
              </a:graphicData>
            </a:graphic>
          </wp:inline>
        </w:drawing>
      </w:r>
    </w:p>
    <w:p w:rsidR="007469D6" w:rsidRPr="000E78C4" w:rsidRDefault="007469D6" w:rsidP="007469D6">
      <w:pPr>
        <w:spacing w:after="0" w:line="480" w:lineRule="auto"/>
        <w:contextualSpacing/>
        <w:rPr>
          <w:rFonts w:ascii="Times New Roman" w:hAnsi="Times New Roman" w:cs="Times New Roman"/>
          <w:sz w:val="24"/>
          <w:szCs w:val="24"/>
          <w:lang w:val="en-US"/>
        </w:rPr>
      </w:pPr>
    </w:p>
    <w:p w:rsidR="007469D6" w:rsidRPr="000E78C4" w:rsidRDefault="007469D6" w:rsidP="007469D6">
      <w:pPr>
        <w:spacing w:after="0" w:line="480" w:lineRule="auto"/>
        <w:contextualSpacing/>
        <w:rPr>
          <w:rFonts w:ascii="Times New Roman" w:hAnsi="Times New Roman" w:cs="Times New Roman"/>
          <w:sz w:val="24"/>
          <w:szCs w:val="24"/>
          <w:lang w:val="en-US"/>
        </w:rPr>
      </w:pPr>
      <w:r w:rsidRPr="000E78C4">
        <w:rPr>
          <w:rFonts w:ascii="Times New Roman" w:hAnsi="Times New Roman" w:cs="Times New Roman"/>
          <w:b/>
          <w:sz w:val="24"/>
          <w:szCs w:val="24"/>
          <w:lang w:val="en-US"/>
        </w:rPr>
        <w:t xml:space="preserve">Figure </w:t>
      </w:r>
      <w:r w:rsidR="009C0064">
        <w:rPr>
          <w:rFonts w:ascii="Times New Roman" w:hAnsi="Times New Roman" w:cs="Times New Roman"/>
          <w:b/>
          <w:sz w:val="24"/>
          <w:szCs w:val="24"/>
          <w:lang w:val="en-US"/>
        </w:rPr>
        <w:t>S</w:t>
      </w:r>
      <w:r w:rsidRPr="000E78C4">
        <w:rPr>
          <w:rFonts w:ascii="Times New Roman" w:hAnsi="Times New Roman" w:cs="Times New Roman"/>
          <w:b/>
          <w:sz w:val="24"/>
          <w:szCs w:val="24"/>
          <w:lang w:val="en-US"/>
        </w:rPr>
        <w:t>1</w:t>
      </w:r>
      <w:r w:rsidRPr="000E78C4">
        <w:rPr>
          <w:rFonts w:ascii="Times New Roman" w:hAnsi="Times New Roman" w:cs="Times New Roman"/>
          <w:sz w:val="24"/>
          <w:szCs w:val="24"/>
          <w:lang w:val="en-US"/>
        </w:rPr>
        <w:t xml:space="preserve"> Iron hematoxylin, Adipose Tissue App (Visiopharm</w:t>
      </w:r>
      <w:r w:rsidRPr="000E78C4">
        <w:rPr>
          <w:rFonts w:ascii="Times New Roman" w:hAnsi="Times New Roman" w:cs="Times New Roman"/>
          <w:sz w:val="24"/>
          <w:szCs w:val="24"/>
          <w:vertAlign w:val="superscript"/>
          <w:lang w:val="en-US"/>
        </w:rPr>
        <w:t>®</w:t>
      </w:r>
      <w:r w:rsidRPr="000E78C4">
        <w:rPr>
          <w:rFonts w:ascii="Times New Roman" w:hAnsi="Times New Roman" w:cs="Times New Roman"/>
          <w:sz w:val="24"/>
          <w:szCs w:val="24"/>
          <w:lang w:val="en-US"/>
        </w:rPr>
        <w:t xml:space="preserve"> software with application (APP) name; Iron Haematoxylin, Adipose Tissue (APP ID 10113), version 1.0. (A) Adipose cells classified based on Form Factor (Classes range from a Form Factor value of 0 (red) to 1 (dark blue), as indicated by the color bar, (B) Adipose cells classified based on Area (Classes range from an Area of 60 um</w:t>
      </w:r>
      <w:r w:rsidRPr="000E78C4">
        <w:rPr>
          <w:rFonts w:ascii="Times New Roman" w:hAnsi="Times New Roman" w:cs="Times New Roman"/>
          <w:sz w:val="24"/>
          <w:szCs w:val="24"/>
          <w:vertAlign w:val="superscript"/>
          <w:lang w:val="en-US"/>
        </w:rPr>
        <w:t>2</w:t>
      </w:r>
      <w:r w:rsidRPr="000E78C4">
        <w:rPr>
          <w:rFonts w:ascii="Times New Roman" w:hAnsi="Times New Roman" w:cs="Times New Roman"/>
          <w:sz w:val="24"/>
          <w:szCs w:val="24"/>
          <w:lang w:val="en-US"/>
        </w:rPr>
        <w:t xml:space="preserve"> (red) to 36000 um</w:t>
      </w:r>
      <w:r w:rsidRPr="000E78C4">
        <w:rPr>
          <w:rFonts w:ascii="Times New Roman" w:hAnsi="Times New Roman" w:cs="Times New Roman"/>
          <w:sz w:val="24"/>
          <w:szCs w:val="24"/>
          <w:vertAlign w:val="superscript"/>
          <w:lang w:val="en-US"/>
        </w:rPr>
        <w:t>2</w:t>
      </w:r>
      <w:r w:rsidRPr="000E78C4">
        <w:rPr>
          <w:rFonts w:ascii="Times New Roman" w:hAnsi="Times New Roman" w:cs="Times New Roman"/>
          <w:sz w:val="24"/>
          <w:szCs w:val="24"/>
          <w:lang w:val="en-US"/>
        </w:rPr>
        <w:t xml:space="preserve"> (dark blue), as indicated by the color bar, (C) Membrane and cell detected by the APP “02 Quantify Fat Cell Membranes”and (D) Adipose tissue staining. </w:t>
      </w:r>
    </w:p>
    <w:p w:rsidR="007469D6" w:rsidRPr="000E78C4" w:rsidRDefault="007469D6" w:rsidP="007469D6">
      <w:pPr>
        <w:spacing w:after="0" w:line="480" w:lineRule="auto"/>
        <w:contextualSpacing/>
        <w:rPr>
          <w:rFonts w:ascii="Times New Roman" w:hAnsi="Times New Roman" w:cs="Times New Roman"/>
          <w:sz w:val="24"/>
          <w:szCs w:val="24"/>
          <w:lang w:val="en-US"/>
        </w:rPr>
      </w:pPr>
    </w:p>
    <w:p w:rsidR="007469D6" w:rsidRPr="000E78C4" w:rsidRDefault="007469D6" w:rsidP="007469D6">
      <w:pPr>
        <w:spacing w:after="0" w:line="480" w:lineRule="auto"/>
        <w:rPr>
          <w:rFonts w:ascii="Times New Roman" w:hAnsi="Times New Roman" w:cs="Times New Roman"/>
          <w:sz w:val="24"/>
          <w:szCs w:val="24"/>
          <w:lang w:val="en-US"/>
        </w:rPr>
      </w:pPr>
      <w:r w:rsidRPr="000E78C4">
        <w:rPr>
          <w:rFonts w:ascii="Times New Roman" w:hAnsi="Times New Roman" w:cs="Times New Roman"/>
          <w:sz w:val="24"/>
          <w:szCs w:val="24"/>
          <w:lang w:val="en-US"/>
        </w:rPr>
        <w:t xml:space="preserve">All three protocols consist of a threshold segmentation of membrane, extracellular matrix (ECM), and adipose cell area. The cell area is divided into reasonable sized cells based on the </w:t>
      </w:r>
      <w:r w:rsidRPr="000E78C4">
        <w:rPr>
          <w:rFonts w:ascii="Times New Roman" w:hAnsi="Times New Roman" w:cs="Times New Roman"/>
          <w:sz w:val="24"/>
          <w:szCs w:val="24"/>
          <w:lang w:val="en-US"/>
        </w:rPr>
        <w:lastRenderedPageBreak/>
        <w:t>segmented membrane. Cell areas larger than 36000 µm</w:t>
      </w:r>
      <w:r w:rsidRPr="000E78C4">
        <w:rPr>
          <w:rFonts w:ascii="Times New Roman" w:hAnsi="Times New Roman" w:cs="Times New Roman"/>
          <w:sz w:val="24"/>
          <w:szCs w:val="24"/>
          <w:vertAlign w:val="superscript"/>
          <w:lang w:val="en-US"/>
        </w:rPr>
        <w:t>2</w:t>
      </w:r>
      <w:r w:rsidRPr="000E78C4">
        <w:rPr>
          <w:rFonts w:ascii="Times New Roman" w:hAnsi="Times New Roman" w:cs="Times New Roman"/>
          <w:sz w:val="24"/>
          <w:szCs w:val="24"/>
          <w:lang w:val="en-US"/>
        </w:rPr>
        <w:t xml:space="preserve"> are excluded. The three protocols utilize the resulting cells and membranes to calculate different outputs. The first protocol calculates the membrane-to-cell ratio. The other two protocols classify the adipose cells into nine classes based on size and shape, respectively. The size-measure is area and the shape-measure is Form Factor. Form factor is a measure of the circularity of the object, ranging from 0, being a line, to 1, being a perfect circle (see VIS Help Manual for more information). The adipose cells are quantified by size and shape individually. The three protocols must be run separately. </w:t>
      </w:r>
    </w:p>
    <w:p w:rsidR="007469D6" w:rsidRPr="000E78C4" w:rsidRDefault="007469D6" w:rsidP="007469D6">
      <w:pPr>
        <w:spacing w:after="0" w:line="480" w:lineRule="auto"/>
        <w:rPr>
          <w:rFonts w:ascii="Times New Roman" w:hAnsi="Times New Roman" w:cs="Times New Roman"/>
          <w:i/>
          <w:color w:val="0070C0"/>
          <w:sz w:val="24"/>
          <w:szCs w:val="24"/>
          <w:lang w:val="en-US"/>
        </w:rPr>
      </w:pPr>
      <w:r w:rsidRPr="000E78C4">
        <w:rPr>
          <w:rFonts w:ascii="Times New Roman" w:hAnsi="Times New Roman" w:cs="Times New Roman"/>
          <w:sz w:val="24"/>
          <w:szCs w:val="24"/>
          <w:lang w:val="en-US"/>
        </w:rPr>
        <w:t>The output variables obtained from these protocols are:</w:t>
      </w:r>
    </w:p>
    <w:p w:rsidR="007469D6" w:rsidRPr="000E78C4" w:rsidRDefault="007469D6" w:rsidP="007469D6">
      <w:pPr>
        <w:spacing w:after="0" w:line="480" w:lineRule="auto"/>
        <w:rPr>
          <w:rFonts w:ascii="Times New Roman" w:hAnsi="Times New Roman" w:cs="Times New Roman"/>
          <w:sz w:val="24"/>
          <w:szCs w:val="24"/>
          <w:lang w:val="en-US"/>
        </w:rPr>
      </w:pPr>
      <w:r w:rsidRPr="000E78C4">
        <w:rPr>
          <w:rFonts w:ascii="Times New Roman" w:hAnsi="Times New Roman" w:cs="Times New Roman"/>
          <w:sz w:val="24"/>
          <w:szCs w:val="24"/>
          <w:u w:val="single"/>
          <w:lang w:val="en-US"/>
        </w:rPr>
        <w:t>Protocol 1 (overall tissue composition):</w:t>
      </w:r>
      <w:r w:rsidRPr="000E78C4">
        <w:rPr>
          <w:rFonts w:ascii="Times New Roman" w:hAnsi="Times New Roman" w:cs="Times New Roman"/>
          <w:sz w:val="24"/>
          <w:szCs w:val="24"/>
          <w:lang w:val="en-US"/>
        </w:rPr>
        <w:t xml:space="preserve"> Percentages of a) Cell area, b) Membrane area, c) Undefined area </w:t>
      </w:r>
    </w:p>
    <w:p w:rsidR="007469D6" w:rsidRPr="000E78C4" w:rsidRDefault="007469D6" w:rsidP="007469D6">
      <w:pPr>
        <w:spacing w:after="0" w:line="480" w:lineRule="auto"/>
        <w:rPr>
          <w:rFonts w:ascii="Times New Roman" w:hAnsi="Times New Roman" w:cs="Times New Roman"/>
          <w:sz w:val="24"/>
          <w:szCs w:val="24"/>
          <w:vertAlign w:val="superscript"/>
          <w:lang w:val="en-US"/>
        </w:rPr>
      </w:pPr>
      <w:r w:rsidRPr="000E78C4">
        <w:rPr>
          <w:rFonts w:ascii="Times New Roman" w:hAnsi="Times New Roman" w:cs="Times New Roman"/>
          <w:sz w:val="24"/>
          <w:szCs w:val="24"/>
          <w:u w:val="single"/>
          <w:lang w:val="en-US"/>
        </w:rPr>
        <w:t>Protocol 2 (adipocyte size):</w:t>
      </w:r>
      <w:r w:rsidRPr="000E78C4">
        <w:rPr>
          <w:rFonts w:ascii="Times New Roman" w:hAnsi="Times New Roman" w:cs="Times New Roman"/>
          <w:sz w:val="24"/>
          <w:szCs w:val="24"/>
          <w:lang w:val="en-US"/>
        </w:rPr>
        <w:t xml:space="preserve"> Percentages of adipocytes within size ranges: a) smaller than 200 µm</w:t>
      </w:r>
      <w:r w:rsidRPr="000E78C4">
        <w:rPr>
          <w:rFonts w:ascii="Times New Roman" w:hAnsi="Times New Roman" w:cs="Times New Roman"/>
          <w:sz w:val="24"/>
          <w:szCs w:val="24"/>
          <w:vertAlign w:val="superscript"/>
          <w:lang w:val="en-US"/>
        </w:rPr>
        <w:t>2</w:t>
      </w:r>
      <w:r w:rsidRPr="000E78C4">
        <w:rPr>
          <w:rFonts w:ascii="Times New Roman" w:hAnsi="Times New Roman" w:cs="Times New Roman"/>
          <w:sz w:val="24"/>
          <w:szCs w:val="24"/>
          <w:lang w:val="en-US"/>
        </w:rPr>
        <w:t>,  b) from 200 µm</w:t>
      </w:r>
      <w:r w:rsidRPr="000E78C4">
        <w:rPr>
          <w:rFonts w:ascii="Times New Roman" w:hAnsi="Times New Roman" w:cs="Times New Roman"/>
          <w:sz w:val="24"/>
          <w:szCs w:val="24"/>
          <w:vertAlign w:val="superscript"/>
          <w:lang w:val="en-US"/>
        </w:rPr>
        <w:t>2</w:t>
      </w:r>
      <w:r w:rsidRPr="000E78C4">
        <w:rPr>
          <w:rFonts w:ascii="Times New Roman" w:hAnsi="Times New Roman" w:cs="Times New Roman"/>
          <w:sz w:val="24"/>
          <w:szCs w:val="24"/>
          <w:lang w:val="en-US"/>
        </w:rPr>
        <w:t xml:space="preserve"> and smaller than 400 µm</w:t>
      </w:r>
      <w:r w:rsidRPr="000E78C4">
        <w:rPr>
          <w:rFonts w:ascii="Times New Roman" w:hAnsi="Times New Roman" w:cs="Times New Roman"/>
          <w:sz w:val="24"/>
          <w:szCs w:val="24"/>
          <w:vertAlign w:val="superscript"/>
          <w:lang w:val="en-US"/>
        </w:rPr>
        <w:t>2</w:t>
      </w:r>
      <w:r w:rsidRPr="000E78C4">
        <w:rPr>
          <w:rFonts w:ascii="Times New Roman" w:hAnsi="Times New Roman" w:cs="Times New Roman"/>
          <w:b/>
          <w:sz w:val="24"/>
          <w:szCs w:val="24"/>
          <w:lang w:val="en-US"/>
        </w:rPr>
        <w:t xml:space="preserve">, </w:t>
      </w:r>
      <w:r w:rsidRPr="000E78C4">
        <w:rPr>
          <w:rFonts w:ascii="Times New Roman" w:hAnsi="Times New Roman" w:cs="Times New Roman"/>
          <w:sz w:val="24"/>
          <w:szCs w:val="24"/>
          <w:lang w:val="en-US"/>
        </w:rPr>
        <w:t>c) from 400 µm</w:t>
      </w:r>
      <w:r w:rsidRPr="000E78C4">
        <w:rPr>
          <w:rFonts w:ascii="Times New Roman" w:hAnsi="Times New Roman" w:cs="Times New Roman"/>
          <w:sz w:val="24"/>
          <w:szCs w:val="24"/>
          <w:vertAlign w:val="superscript"/>
          <w:lang w:val="en-US"/>
        </w:rPr>
        <w:t>2</w:t>
      </w:r>
      <w:r w:rsidRPr="000E78C4">
        <w:rPr>
          <w:rFonts w:ascii="Times New Roman" w:hAnsi="Times New Roman" w:cs="Times New Roman"/>
          <w:sz w:val="24"/>
          <w:szCs w:val="24"/>
          <w:lang w:val="en-US"/>
        </w:rPr>
        <w:t xml:space="preserve"> and smaller than 800 µm</w:t>
      </w:r>
      <w:r w:rsidRPr="000E78C4">
        <w:rPr>
          <w:rFonts w:ascii="Times New Roman" w:hAnsi="Times New Roman" w:cs="Times New Roman"/>
          <w:sz w:val="24"/>
          <w:szCs w:val="24"/>
          <w:vertAlign w:val="superscript"/>
          <w:lang w:val="en-US"/>
        </w:rPr>
        <w:t>2</w:t>
      </w:r>
      <w:r w:rsidRPr="000E78C4">
        <w:rPr>
          <w:rFonts w:ascii="Times New Roman" w:hAnsi="Times New Roman" w:cs="Times New Roman"/>
          <w:sz w:val="24"/>
          <w:szCs w:val="24"/>
          <w:lang w:val="en-US"/>
        </w:rPr>
        <w:t>, d) from 800 µm</w:t>
      </w:r>
      <w:r w:rsidRPr="000E78C4">
        <w:rPr>
          <w:rFonts w:ascii="Times New Roman" w:hAnsi="Times New Roman" w:cs="Times New Roman"/>
          <w:sz w:val="24"/>
          <w:szCs w:val="24"/>
          <w:vertAlign w:val="superscript"/>
          <w:lang w:val="en-US"/>
        </w:rPr>
        <w:t>2</w:t>
      </w:r>
      <w:r w:rsidRPr="000E78C4">
        <w:rPr>
          <w:rFonts w:ascii="Times New Roman" w:hAnsi="Times New Roman" w:cs="Times New Roman"/>
          <w:sz w:val="24"/>
          <w:szCs w:val="24"/>
          <w:lang w:val="en-US"/>
        </w:rPr>
        <w:t xml:space="preserve"> and smaller than 1600 µm</w:t>
      </w:r>
      <w:r w:rsidRPr="000E78C4">
        <w:rPr>
          <w:rFonts w:ascii="Times New Roman" w:hAnsi="Times New Roman" w:cs="Times New Roman"/>
          <w:sz w:val="24"/>
          <w:szCs w:val="24"/>
          <w:vertAlign w:val="superscript"/>
          <w:lang w:val="en-US"/>
        </w:rPr>
        <w:t>2</w:t>
      </w:r>
      <w:r w:rsidRPr="000E78C4">
        <w:rPr>
          <w:rFonts w:ascii="Times New Roman" w:hAnsi="Times New Roman" w:cs="Times New Roman"/>
          <w:sz w:val="24"/>
          <w:szCs w:val="24"/>
          <w:lang w:val="en-US"/>
        </w:rPr>
        <w:t>, e) from 1600 µm</w:t>
      </w:r>
      <w:r w:rsidRPr="000E78C4">
        <w:rPr>
          <w:rFonts w:ascii="Times New Roman" w:hAnsi="Times New Roman" w:cs="Times New Roman"/>
          <w:sz w:val="24"/>
          <w:szCs w:val="24"/>
          <w:vertAlign w:val="superscript"/>
          <w:lang w:val="en-US"/>
        </w:rPr>
        <w:t>2</w:t>
      </w:r>
      <w:r w:rsidRPr="000E78C4">
        <w:rPr>
          <w:rFonts w:ascii="Times New Roman" w:hAnsi="Times New Roman" w:cs="Times New Roman"/>
          <w:sz w:val="24"/>
          <w:szCs w:val="24"/>
          <w:lang w:val="en-US"/>
        </w:rPr>
        <w:t xml:space="preserve"> and smaller than 3200 µm</w:t>
      </w:r>
      <w:r w:rsidRPr="000E78C4">
        <w:rPr>
          <w:rFonts w:ascii="Times New Roman" w:hAnsi="Times New Roman" w:cs="Times New Roman"/>
          <w:sz w:val="24"/>
          <w:szCs w:val="24"/>
          <w:vertAlign w:val="superscript"/>
          <w:lang w:val="en-US"/>
        </w:rPr>
        <w:t>2</w:t>
      </w:r>
      <w:r w:rsidRPr="000E78C4">
        <w:rPr>
          <w:rFonts w:ascii="Times New Roman" w:hAnsi="Times New Roman" w:cs="Times New Roman"/>
          <w:sz w:val="24"/>
          <w:szCs w:val="24"/>
          <w:lang w:val="en-US"/>
        </w:rPr>
        <w:t>, f) from 3200 µm</w:t>
      </w:r>
      <w:r w:rsidRPr="000E78C4">
        <w:rPr>
          <w:rFonts w:ascii="Times New Roman" w:hAnsi="Times New Roman" w:cs="Times New Roman"/>
          <w:sz w:val="24"/>
          <w:szCs w:val="24"/>
          <w:vertAlign w:val="superscript"/>
          <w:lang w:val="en-US"/>
        </w:rPr>
        <w:t>2</w:t>
      </w:r>
      <w:r w:rsidRPr="000E78C4">
        <w:rPr>
          <w:rFonts w:ascii="Times New Roman" w:hAnsi="Times New Roman" w:cs="Times New Roman"/>
          <w:sz w:val="24"/>
          <w:szCs w:val="24"/>
          <w:lang w:val="en-US"/>
        </w:rPr>
        <w:t xml:space="preserve"> and smaller than 6400 µm</w:t>
      </w:r>
      <w:r w:rsidRPr="000E78C4">
        <w:rPr>
          <w:rFonts w:ascii="Times New Roman" w:hAnsi="Times New Roman" w:cs="Times New Roman"/>
          <w:sz w:val="24"/>
          <w:szCs w:val="24"/>
          <w:vertAlign w:val="superscript"/>
          <w:lang w:val="en-US"/>
        </w:rPr>
        <w:t>2</w:t>
      </w:r>
      <w:r w:rsidRPr="000E78C4">
        <w:rPr>
          <w:rFonts w:ascii="Times New Roman" w:hAnsi="Times New Roman" w:cs="Times New Roman"/>
          <w:sz w:val="24"/>
          <w:szCs w:val="24"/>
          <w:lang w:val="en-US"/>
        </w:rPr>
        <w:t>, g) from 6400 µm</w:t>
      </w:r>
      <w:r w:rsidRPr="000E78C4">
        <w:rPr>
          <w:rFonts w:ascii="Times New Roman" w:hAnsi="Times New Roman" w:cs="Times New Roman"/>
          <w:sz w:val="24"/>
          <w:szCs w:val="24"/>
          <w:vertAlign w:val="superscript"/>
          <w:lang w:val="en-US"/>
        </w:rPr>
        <w:t>2</w:t>
      </w:r>
      <w:r w:rsidRPr="000E78C4">
        <w:rPr>
          <w:rFonts w:ascii="Times New Roman" w:hAnsi="Times New Roman" w:cs="Times New Roman"/>
          <w:sz w:val="24"/>
          <w:szCs w:val="24"/>
          <w:lang w:val="en-US"/>
        </w:rPr>
        <w:t xml:space="preserve"> and smaller than 12800 µm</w:t>
      </w:r>
      <w:r w:rsidRPr="000E78C4">
        <w:rPr>
          <w:rFonts w:ascii="Times New Roman" w:hAnsi="Times New Roman" w:cs="Times New Roman"/>
          <w:sz w:val="24"/>
          <w:szCs w:val="24"/>
          <w:vertAlign w:val="superscript"/>
          <w:lang w:val="en-US"/>
        </w:rPr>
        <w:t>2</w:t>
      </w:r>
      <w:r w:rsidRPr="000E78C4">
        <w:rPr>
          <w:rFonts w:ascii="Times New Roman" w:hAnsi="Times New Roman" w:cs="Times New Roman"/>
          <w:sz w:val="24"/>
          <w:szCs w:val="24"/>
          <w:lang w:val="en-US"/>
        </w:rPr>
        <w:t>, h) from 12800 µm</w:t>
      </w:r>
      <w:r w:rsidRPr="000E78C4">
        <w:rPr>
          <w:rFonts w:ascii="Times New Roman" w:hAnsi="Times New Roman" w:cs="Times New Roman"/>
          <w:sz w:val="24"/>
          <w:szCs w:val="24"/>
          <w:vertAlign w:val="superscript"/>
          <w:lang w:val="en-US"/>
        </w:rPr>
        <w:t>2</w:t>
      </w:r>
      <w:r w:rsidRPr="000E78C4">
        <w:rPr>
          <w:rFonts w:ascii="Times New Roman" w:hAnsi="Times New Roman" w:cs="Times New Roman"/>
          <w:sz w:val="24"/>
          <w:szCs w:val="24"/>
          <w:lang w:val="en-US"/>
        </w:rPr>
        <w:t xml:space="preserve"> and smaller than 25600 µm</w:t>
      </w:r>
      <w:r w:rsidRPr="000E78C4">
        <w:rPr>
          <w:rFonts w:ascii="Times New Roman" w:hAnsi="Times New Roman" w:cs="Times New Roman"/>
          <w:sz w:val="24"/>
          <w:szCs w:val="24"/>
          <w:vertAlign w:val="superscript"/>
          <w:lang w:val="en-US"/>
        </w:rPr>
        <w:t>2</w:t>
      </w:r>
      <w:r w:rsidRPr="000E78C4">
        <w:rPr>
          <w:rFonts w:ascii="Times New Roman" w:hAnsi="Times New Roman" w:cs="Times New Roman"/>
          <w:sz w:val="24"/>
          <w:szCs w:val="24"/>
          <w:lang w:val="en-US"/>
        </w:rPr>
        <w:t xml:space="preserve"> and i) from 25600 µm</w:t>
      </w:r>
      <w:r w:rsidRPr="000E78C4">
        <w:rPr>
          <w:rFonts w:ascii="Times New Roman" w:hAnsi="Times New Roman" w:cs="Times New Roman"/>
          <w:sz w:val="24"/>
          <w:szCs w:val="24"/>
          <w:vertAlign w:val="superscript"/>
          <w:lang w:val="en-US"/>
        </w:rPr>
        <w:t>2</w:t>
      </w:r>
      <w:r w:rsidRPr="000E78C4">
        <w:rPr>
          <w:rFonts w:ascii="Times New Roman" w:hAnsi="Times New Roman" w:cs="Times New Roman"/>
          <w:sz w:val="24"/>
          <w:szCs w:val="24"/>
          <w:lang w:val="en-US"/>
        </w:rPr>
        <w:t xml:space="preserve"> and smaller than 36000 µm</w:t>
      </w:r>
      <w:r w:rsidRPr="000E78C4">
        <w:rPr>
          <w:rFonts w:ascii="Times New Roman" w:hAnsi="Times New Roman" w:cs="Times New Roman"/>
          <w:sz w:val="24"/>
          <w:szCs w:val="24"/>
          <w:vertAlign w:val="superscript"/>
          <w:lang w:val="en-US"/>
        </w:rPr>
        <w:t>2</w:t>
      </w:r>
    </w:p>
    <w:p w:rsidR="007469D6" w:rsidRDefault="007469D6" w:rsidP="007469D6">
      <w:pPr>
        <w:spacing w:after="0" w:line="480" w:lineRule="auto"/>
        <w:rPr>
          <w:rFonts w:ascii="Times New Roman" w:hAnsi="Times New Roman" w:cs="Times New Roman"/>
          <w:sz w:val="24"/>
          <w:szCs w:val="24"/>
          <w:lang w:val="en-US"/>
        </w:rPr>
      </w:pPr>
      <w:r w:rsidRPr="000E78C4">
        <w:rPr>
          <w:rFonts w:ascii="Times New Roman" w:hAnsi="Times New Roman" w:cs="Times New Roman"/>
          <w:sz w:val="24"/>
          <w:szCs w:val="24"/>
          <w:u w:val="single"/>
          <w:lang w:val="en-US"/>
        </w:rPr>
        <w:t xml:space="preserve">Protocol 3 (adipocyte shape): </w:t>
      </w:r>
      <w:r w:rsidRPr="000E78C4">
        <w:rPr>
          <w:rFonts w:ascii="Times New Roman" w:hAnsi="Times New Roman" w:cs="Times New Roman"/>
          <w:sz w:val="24"/>
          <w:szCs w:val="24"/>
          <w:lang w:val="en-US"/>
        </w:rPr>
        <w:t>Percentage of adipocytes with a Form Factor a) smaller than 0.2, b) larger than 0.2 and smaller than 0.3, c) larger than 0.3 and smaller than 0.4, d) larger than 0.4 and smaller than 0.5, e) larger than 0.5 and smaller than 0.6, f) larger than 0.6 and smaller than 0.7, g) larger than 0.7 and smaller than 0.8, g) larger than 0.8 and smaller than 0.9, and h) larger than 0.9 and up to 1.0 (perfect circle).</w:t>
      </w:r>
    </w:p>
    <w:p w:rsidR="007469D6" w:rsidRPr="000E78C4" w:rsidRDefault="007469D6" w:rsidP="007469D6">
      <w:pPr>
        <w:spacing w:after="0" w:line="480" w:lineRule="auto"/>
        <w:rPr>
          <w:rFonts w:ascii="Times New Roman" w:hAnsi="Times New Roman" w:cs="Times New Roman"/>
          <w:sz w:val="24"/>
          <w:szCs w:val="24"/>
          <w:lang w:val="en-US"/>
        </w:rPr>
      </w:pPr>
    </w:p>
    <w:p w:rsidR="007469D6" w:rsidRPr="00E13219" w:rsidRDefault="007469D6" w:rsidP="007469D6">
      <w:pPr>
        <w:spacing w:after="0" w:line="480" w:lineRule="auto"/>
        <w:rPr>
          <w:rFonts w:ascii="Times New Roman" w:hAnsi="Times New Roman" w:cs="Times New Roman"/>
          <w:sz w:val="24"/>
          <w:szCs w:val="24"/>
          <w:lang w:val="en-US"/>
        </w:rPr>
      </w:pPr>
      <w:r w:rsidRPr="00E13219">
        <w:rPr>
          <w:rFonts w:ascii="Times New Roman" w:hAnsi="Times New Roman" w:cs="Times New Roman"/>
          <w:noProof/>
          <w:sz w:val="24"/>
          <w:szCs w:val="24"/>
          <w:lang w:val="en-US"/>
        </w:rPr>
        <w:lastRenderedPageBreak/>
        <w:drawing>
          <wp:inline distT="0" distB="0" distL="0" distR="0" wp14:anchorId="7E0BDA2B" wp14:editId="27BD90B8">
            <wp:extent cx="5943600" cy="4737253"/>
            <wp:effectExtent l="0" t="0" r="0" b="6350"/>
            <wp:docPr id="2" name="Picture 2" descr="U:\PAPER SUBMISSION\Journal of Animal Science and Biotechnology\Figure\Supplementary 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APER SUBMISSION\Journal of Animal Science and Biotechnology\Figure\Supplementary Figure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737253"/>
                    </a:xfrm>
                    <a:prstGeom prst="rect">
                      <a:avLst/>
                    </a:prstGeom>
                    <a:noFill/>
                    <a:ln>
                      <a:noFill/>
                    </a:ln>
                  </pic:spPr>
                </pic:pic>
              </a:graphicData>
            </a:graphic>
          </wp:inline>
        </w:drawing>
      </w:r>
    </w:p>
    <w:p w:rsidR="007469D6" w:rsidRPr="000E78C4" w:rsidRDefault="007469D6" w:rsidP="007469D6">
      <w:pPr>
        <w:spacing w:after="0" w:line="480" w:lineRule="auto"/>
        <w:rPr>
          <w:lang w:val="en-US"/>
        </w:rPr>
      </w:pPr>
    </w:p>
    <w:p w:rsidR="007469D6" w:rsidRPr="00153059" w:rsidRDefault="007469D6" w:rsidP="007469D6">
      <w:pPr>
        <w:spacing w:after="0" w:line="480" w:lineRule="auto"/>
        <w:rPr>
          <w:rFonts w:ascii="Times New Roman" w:hAnsi="Times New Roman" w:cs="Times New Roman"/>
          <w:sz w:val="24"/>
          <w:szCs w:val="24"/>
          <w:lang w:val="en-US"/>
        </w:rPr>
      </w:pPr>
      <w:r w:rsidRPr="000E78C4">
        <w:rPr>
          <w:rFonts w:ascii="Times New Roman" w:hAnsi="Times New Roman" w:cs="Times New Roman"/>
          <w:b/>
          <w:sz w:val="24"/>
          <w:szCs w:val="24"/>
          <w:lang w:val="en-US"/>
        </w:rPr>
        <w:t xml:space="preserve">Figure </w:t>
      </w:r>
      <w:r w:rsidR="009C0064">
        <w:rPr>
          <w:rFonts w:ascii="Times New Roman" w:hAnsi="Times New Roman" w:cs="Times New Roman"/>
          <w:b/>
          <w:sz w:val="24"/>
          <w:szCs w:val="24"/>
          <w:lang w:val="en-US"/>
        </w:rPr>
        <w:t>S2</w:t>
      </w:r>
      <w:r w:rsidRPr="000E78C4">
        <w:rPr>
          <w:rFonts w:ascii="Times New Roman" w:hAnsi="Times New Roman" w:cs="Times New Roman"/>
          <w:b/>
          <w:sz w:val="24"/>
          <w:szCs w:val="24"/>
          <w:lang w:val="en-US"/>
        </w:rPr>
        <w:t xml:space="preserve"> </w:t>
      </w:r>
      <w:r w:rsidRPr="000E78C4">
        <w:rPr>
          <w:rFonts w:ascii="Times New Roman" w:hAnsi="Times New Roman" w:cs="Times New Roman"/>
          <w:sz w:val="24"/>
          <w:szCs w:val="24"/>
          <w:lang w:val="en-US"/>
        </w:rPr>
        <w:t>Overview of correlations (r) between proportions of adipocytes in different cell size classes within (A) subcutaneous, (B) perirenal, (C) mesenteric, and (D) epicardial adipose tissues from 2½ year old adult sheep with different early nutrition histories. Panel (E) in addition shows correlations between very small and large adipocytes and cell number indices (CNI) across adipose tissues (e)</w:t>
      </w:r>
      <w:r w:rsidRPr="000E78C4">
        <w:rPr>
          <w:rFonts w:ascii="Times New Roman" w:eastAsia="Times New Roman" w:hAnsi="Times New Roman" w:cs="Times New Roman"/>
          <w:sz w:val="24"/>
          <w:szCs w:val="24"/>
          <w:lang w:val="en-US" w:eastAsia="da-DK"/>
        </w:rPr>
        <w:t xml:space="preserve">. All sheep were born as twins from mothers, which during the last 6 weeks of gestation (term~147 days) had been exposed to NORM (fulfilling 100% of daily energy and protein requirements); HIGH (fulfilling 150% of energy and 110% of protein requirements, respectively); or LOW (50% of NORM) levels of nutrition. From 3-days of age until 6 months of </w:t>
      </w:r>
      <w:r w:rsidRPr="000E78C4">
        <w:rPr>
          <w:rFonts w:ascii="Times New Roman" w:eastAsia="Times New Roman" w:hAnsi="Times New Roman" w:cs="Times New Roman"/>
          <w:sz w:val="24"/>
          <w:szCs w:val="24"/>
          <w:lang w:val="en-US" w:eastAsia="da-DK"/>
        </w:rPr>
        <w:lastRenderedPageBreak/>
        <w:t xml:space="preserve">age (post-puberty), one twin was fed a CONV diet (milk replacer during the first 8 weeks of life and exclusively hay thereafter, and adjusted in amounts to achieve moderate constant growth rates of approx. 225 g/day) and the other twin a HCHF diet (high carbohydrate (starch)-high-fat diet (37% fat dairy cream mixed with milk replacer in a 1:1 ratio (max. 2½ l/day) supplemented with rolled maize (max. 2 kg/d)). From 6 months until 2½ years of age, all sheep were fed with the same CONV (low-fat hay-based diet). Tissue slides were obtained at autopsy from the 2½ years old adult sheep and adipose tissues were stained with Iron-Hematoxylin except EPI, which was stained with Hematoxylin and Eosin for optimal staining of cell membranes. Average cross-sectional area (CSA) of adipocytes and distribution of adipocytes in cell size classes were determined in whole tissue scans using the Iron Haematoxylin Adipose Tissue software (APP ID 10113; Visiopharm®, Hoersholm, Denmark). </w:t>
      </w:r>
      <w:r w:rsidRPr="000E78C4">
        <w:rPr>
          <w:rFonts w:ascii="Times New Roman" w:hAnsi="Times New Roman" w:cs="Times New Roman"/>
          <w:sz w:val="24"/>
          <w:szCs w:val="24"/>
          <w:lang w:val="en-US"/>
        </w:rPr>
        <w:t xml:space="preserve">A </w:t>
      </w:r>
      <w:r w:rsidRPr="000E78C4">
        <w:rPr>
          <w:rFonts w:ascii="Times New Roman" w:eastAsia="Times New Roman" w:hAnsi="Times New Roman" w:cs="Times New Roman"/>
          <w:sz w:val="24"/>
          <w:szCs w:val="24"/>
          <w:lang w:val="en-US" w:eastAsia="da-DK"/>
        </w:rPr>
        <w:t xml:space="preserve">cell number index (CNI) was calculated as adipocyte mass (total fat mass (kg) multiplied by the % of adipocyte coverage on tissue slides) divided by the volume of a spherical adipocyte with a radius equivalent to a circle with same area as the average measured CSA. </w:t>
      </w:r>
      <w:r w:rsidRPr="000E78C4">
        <w:rPr>
          <w:rFonts w:ascii="Times New Roman" w:eastAsia="Times New Roman" w:hAnsi="Times New Roman" w:cs="Times New Roman"/>
          <w:sz w:val="24"/>
          <w:szCs w:val="24"/>
          <w:lang w:val="en-US"/>
        </w:rPr>
        <w:t xml:space="preserve">The adipocytes were automatically by the software categorized into size classes according to their </w:t>
      </w:r>
      <w:r w:rsidRPr="000E78C4">
        <w:rPr>
          <w:rFonts w:ascii="Times New Roman" w:eastAsia="Times New Roman" w:hAnsi="Times New Roman" w:cs="Times New Roman"/>
          <w:bCs/>
          <w:color w:val="000000"/>
          <w:sz w:val="24"/>
          <w:szCs w:val="24"/>
          <w:lang w:val="en-US"/>
        </w:rPr>
        <w:t xml:space="preserve">CSA, with classes ranging from </w:t>
      </w:r>
      <w:r w:rsidRPr="000E78C4">
        <w:rPr>
          <w:rFonts w:ascii="Times New Roman" w:eastAsia="Times New Roman" w:hAnsi="Times New Roman" w:cs="Times New Roman"/>
          <w:sz w:val="24"/>
          <w:szCs w:val="24"/>
          <w:lang w:val="en-US"/>
        </w:rPr>
        <w:t>0-40 (Pct_under_40), 40-200 (Pct_under_200), 200-400 (Pct_under_400), 400-800 (Pct_under_800), 800-1600 (Pct_under_1600), 1600-3200 (Pct_under_3200), 3200-6400 (Pct_under_6400), 6400-12800 (Pct_under_12800), 12800-26500 (Pct_under_25600), 26500-36000 (Pct_under_36000) µm</w:t>
      </w:r>
      <w:r w:rsidRPr="000E78C4">
        <w:rPr>
          <w:rFonts w:ascii="Times New Roman" w:eastAsia="Times New Roman" w:hAnsi="Times New Roman" w:cs="Times New Roman"/>
          <w:sz w:val="24"/>
          <w:szCs w:val="24"/>
          <w:vertAlign w:val="superscript"/>
          <w:lang w:val="en-US"/>
        </w:rPr>
        <w:t>2</w:t>
      </w:r>
      <w:r w:rsidRPr="000E78C4">
        <w:rPr>
          <w:rFonts w:ascii="Times New Roman" w:eastAsia="Times New Roman" w:hAnsi="Times New Roman" w:cs="Times New Roman"/>
          <w:sz w:val="24"/>
          <w:szCs w:val="24"/>
          <w:lang w:val="en-US"/>
        </w:rPr>
        <w:t xml:space="preserve">. The values </w:t>
      </w:r>
      <w:r w:rsidRPr="000E78C4">
        <w:rPr>
          <w:rFonts w:ascii="Times New Roman" w:eastAsia="Times New Roman" w:hAnsi="Times New Roman" w:cs="Times New Roman"/>
          <w:i/>
          <w:sz w:val="24"/>
          <w:szCs w:val="24"/>
          <w:lang w:val="en-US"/>
        </w:rPr>
        <w:t>r</w:t>
      </w:r>
      <w:r w:rsidRPr="000E78C4">
        <w:rPr>
          <w:rFonts w:ascii="Times New Roman" w:eastAsia="Times New Roman" w:hAnsi="Times New Roman" w:cs="Times New Roman"/>
          <w:sz w:val="24"/>
          <w:szCs w:val="24"/>
          <w:lang w:val="en-US"/>
        </w:rPr>
        <w:t xml:space="preserve"> denote the degree of correlation and </w:t>
      </w:r>
      <w:r w:rsidRPr="000E78C4">
        <w:rPr>
          <w:rFonts w:ascii="Times New Roman" w:hAnsi="Times New Roman" w:cs="Times New Roman"/>
          <w:sz w:val="24"/>
          <w:szCs w:val="24"/>
          <w:lang w:val="en-US"/>
        </w:rPr>
        <w:t>asterisk (*) denote significant differences between cell size classes and CNI as revealed by pairwise comparison (*</w:t>
      </w:r>
      <w:r>
        <w:rPr>
          <w:rFonts w:ascii="Times New Roman" w:hAnsi="Times New Roman" w:cs="Times New Roman"/>
          <w:sz w:val="24"/>
          <w:szCs w:val="24"/>
          <w:lang w:val="en-US"/>
        </w:rPr>
        <w:t xml:space="preserve">P&lt;0.05, **P&lt;0.01, ***P&lt;0.001). </w:t>
      </w:r>
    </w:p>
    <w:p w:rsidR="007469D6" w:rsidRPr="000E78C4" w:rsidRDefault="007469D6" w:rsidP="007469D6">
      <w:pPr>
        <w:spacing w:after="0" w:line="480" w:lineRule="auto"/>
        <w:rPr>
          <w:lang w:val="en-US"/>
        </w:rPr>
      </w:pPr>
    </w:p>
    <w:p w:rsidR="007469D6" w:rsidRPr="000E78C4" w:rsidRDefault="007469D6" w:rsidP="007469D6">
      <w:pPr>
        <w:spacing w:after="0" w:line="480" w:lineRule="auto"/>
        <w:rPr>
          <w:lang w:val="en-US"/>
        </w:rPr>
      </w:pPr>
      <w:r w:rsidRPr="00153059">
        <w:rPr>
          <w:noProof/>
          <w:lang w:val="en-US"/>
        </w:rPr>
        <w:lastRenderedPageBreak/>
        <w:drawing>
          <wp:inline distT="0" distB="0" distL="0" distR="0" wp14:anchorId="2E65A84E" wp14:editId="0CF67A6D">
            <wp:extent cx="5943600" cy="3367582"/>
            <wp:effectExtent l="0" t="0" r="0" b="4445"/>
            <wp:docPr id="17" name="Picture 17" descr="U:\PAPER SUBMISSION\Journal of Animal Science and Biotechnology\Figure\Supplementary Fig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APER SUBMISSION\Journal of Animal Science and Biotechnology\Figure\Supplementary Figure 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67582"/>
                    </a:xfrm>
                    <a:prstGeom prst="rect">
                      <a:avLst/>
                    </a:prstGeom>
                    <a:noFill/>
                    <a:ln>
                      <a:noFill/>
                    </a:ln>
                  </pic:spPr>
                </pic:pic>
              </a:graphicData>
            </a:graphic>
          </wp:inline>
        </w:drawing>
      </w:r>
    </w:p>
    <w:p w:rsidR="007469D6" w:rsidRPr="000E78C4" w:rsidRDefault="007469D6" w:rsidP="007469D6">
      <w:pPr>
        <w:spacing w:after="0" w:line="480" w:lineRule="auto"/>
        <w:rPr>
          <w:lang w:val="en-US"/>
        </w:rPr>
      </w:pPr>
    </w:p>
    <w:p w:rsidR="007469D6" w:rsidRDefault="007469D6" w:rsidP="007469D6">
      <w:pPr>
        <w:spacing w:after="0" w:line="480" w:lineRule="auto"/>
        <w:rPr>
          <w:rFonts w:ascii="Times New Roman" w:hAnsi="Times New Roman" w:cs="Times New Roman"/>
          <w:sz w:val="24"/>
          <w:szCs w:val="24"/>
          <w:lang w:val="en-US"/>
        </w:rPr>
      </w:pPr>
      <w:r w:rsidRPr="000E78C4">
        <w:rPr>
          <w:rFonts w:ascii="Times New Roman" w:hAnsi="Times New Roman" w:cs="Times New Roman"/>
          <w:b/>
          <w:sz w:val="24"/>
          <w:szCs w:val="24"/>
          <w:lang w:val="en-US"/>
        </w:rPr>
        <w:t xml:space="preserve">Figure </w:t>
      </w:r>
      <w:r w:rsidR="009C0064">
        <w:rPr>
          <w:rFonts w:ascii="Times New Roman" w:hAnsi="Times New Roman" w:cs="Times New Roman"/>
          <w:b/>
          <w:sz w:val="24"/>
          <w:szCs w:val="24"/>
          <w:lang w:val="en-US"/>
        </w:rPr>
        <w:t>S</w:t>
      </w:r>
      <w:r w:rsidRPr="000E78C4">
        <w:rPr>
          <w:rFonts w:ascii="Times New Roman" w:hAnsi="Times New Roman" w:cs="Times New Roman"/>
          <w:b/>
          <w:sz w:val="24"/>
          <w:szCs w:val="24"/>
          <w:lang w:val="en-US"/>
        </w:rPr>
        <w:t>3</w:t>
      </w:r>
      <w:r w:rsidRPr="000E78C4">
        <w:rPr>
          <w:rFonts w:ascii="Times New Roman" w:hAnsi="Times New Roman" w:cs="Times New Roman"/>
          <w:sz w:val="24"/>
          <w:szCs w:val="24"/>
          <w:lang w:val="en-US"/>
        </w:rPr>
        <w:t xml:space="preserve"> Sex effects (independently of the early nutrition history) on mRNA expression (relative to that of the reference gene, beta-actin) of (A) subcutaneous, (B) perirenal, (C) mesenteric, and (D) epicardial adipose tissues in 2½ years old male </w:t>
      </w:r>
      <w:r w:rsidRPr="000E78C4">
        <w:rPr>
          <w:rFonts w:ascii="Times New Roman" w:eastAsia="Times New Roman" w:hAnsi="Times New Roman" w:cs="Times New Roman"/>
          <w:bCs/>
          <w:sz w:val="24"/>
          <w:szCs w:val="24"/>
          <w:lang w:val="en-US"/>
        </w:rPr>
        <w:t>(♂) and female (</w:t>
      </w:r>
      <w:r w:rsidRPr="000E78C4">
        <w:rPr>
          <w:rFonts w:ascii="Times New Roman" w:eastAsia="Times New Roman" w:hAnsi="Times New Roman" w:cs="Times New Roman"/>
          <w:bCs/>
          <w:color w:val="000000"/>
          <w:sz w:val="24"/>
          <w:szCs w:val="24"/>
          <w:lang w:val="en-US"/>
        </w:rPr>
        <w:t>♀) adult sheep</w:t>
      </w:r>
      <w:r w:rsidRPr="000E78C4">
        <w:rPr>
          <w:rFonts w:ascii="Times New Roman" w:hAnsi="Times New Roman" w:cs="Times New Roman"/>
          <w:sz w:val="24"/>
          <w:szCs w:val="24"/>
          <w:lang w:val="en-US"/>
        </w:rPr>
        <w:t xml:space="preserve">. All sheep were born as twins from mothers, which during the last 6 weeks of gestation (term~147 days) had been exposed to NORM (fulfilling 100% of daily energy and protein requirements); HIGH (fulfilling 150% of energy and 110% of protein requirements, respectively); or LOW (50% of NORM) levels of nutrition. From 3-days of age until 6 months of age (post-puberty), one twin was fed a CONV diet (milk replacer during the first 8 weeks of life and exclusively hay thereafter, and adjusted in amounts to achieve moderate constant growth rates of approx. 225 g/day) and the other twin a HCHF diet (high carbohydrate (starch)-high-fat diet (37% fat dairy cream mixed with milk replacer in a 1:1 ratio (max. 2½ l/day) supplemented with rolled maize (max. 2 kg/d)). From 6 months until 2½ years of age, all sheep were fed with </w:t>
      </w:r>
      <w:r w:rsidRPr="000E78C4">
        <w:rPr>
          <w:rFonts w:ascii="Times New Roman" w:hAnsi="Times New Roman" w:cs="Times New Roman"/>
          <w:sz w:val="24"/>
          <w:szCs w:val="24"/>
          <w:lang w:val="en-US"/>
        </w:rPr>
        <w:lastRenderedPageBreak/>
        <w:t xml:space="preserve">the same CONV (low-fat hay-based diet). </w:t>
      </w:r>
      <w:r w:rsidRPr="000E78C4">
        <w:rPr>
          <w:rFonts w:ascii="Times New Roman" w:eastAsia="Calibri" w:hAnsi="Times New Roman" w:cs="Times New Roman"/>
          <w:bCs/>
          <w:sz w:val="24"/>
          <w:szCs w:val="24"/>
          <w:vertAlign w:val="superscript"/>
          <w:lang w:val="en-US"/>
        </w:rPr>
        <w:t xml:space="preserve">ab </w:t>
      </w:r>
      <w:r w:rsidRPr="000E78C4">
        <w:rPr>
          <w:rFonts w:ascii="Times New Roman" w:eastAsia="Calibri" w:hAnsi="Times New Roman" w:cs="Times New Roman"/>
          <w:bCs/>
          <w:sz w:val="24"/>
          <w:szCs w:val="24"/>
          <w:lang w:val="en-US"/>
        </w:rPr>
        <w:t>S</w:t>
      </w:r>
      <w:r>
        <w:rPr>
          <w:rFonts w:ascii="Times New Roman" w:eastAsia="Calibri" w:hAnsi="Times New Roman" w:cs="Times New Roman"/>
          <w:bCs/>
          <w:sz w:val="24"/>
          <w:szCs w:val="24"/>
          <w:lang w:val="en-US"/>
        </w:rPr>
        <w:t xml:space="preserve">ignificant differences between </w:t>
      </w:r>
      <w:r w:rsidRPr="000E78C4">
        <w:rPr>
          <w:rFonts w:ascii="Times New Roman" w:eastAsia="Calibri" w:hAnsi="Times New Roman" w:cs="Times New Roman"/>
          <w:bCs/>
          <w:sz w:val="24"/>
          <w:szCs w:val="24"/>
          <w:lang w:val="en-US"/>
        </w:rPr>
        <w:t>groups are denoted by different superscript letters.</w:t>
      </w:r>
      <w:r w:rsidRPr="000E78C4">
        <w:rPr>
          <w:rFonts w:ascii="Times New Roman" w:hAnsi="Times New Roman" w:cs="Times New Roman"/>
          <w:sz w:val="24"/>
          <w:szCs w:val="24"/>
          <w:lang w:val="en-US"/>
        </w:rPr>
        <w:t xml:space="preserve"> </w:t>
      </w:r>
      <w:r w:rsidRPr="000E78C4">
        <w:rPr>
          <w:rFonts w:ascii="Times New Roman" w:eastAsia="Times New Roman" w:hAnsi="Times New Roman" w:cs="Times New Roman"/>
          <w:color w:val="000000"/>
          <w:sz w:val="24"/>
          <w:szCs w:val="24"/>
          <w:lang w:val="en-US"/>
        </w:rPr>
        <w:t>The number of animals in the groups are: (a) Subcutaneous: N=31 (</w:t>
      </w:r>
      <w:r w:rsidRPr="000E78C4">
        <w:rPr>
          <w:rFonts w:ascii="Times New Roman" w:hAnsi="Times New Roman" w:cs="Times New Roman"/>
          <w:sz w:val="24"/>
          <w:szCs w:val="24"/>
          <w:lang w:val="en-US"/>
        </w:rPr>
        <w:t>14</w:t>
      </w:r>
      <w:r w:rsidRPr="000E78C4">
        <w:rPr>
          <w:rFonts w:ascii="Times New Roman" w:eastAsia="Times New Roman" w:hAnsi="Times New Roman" w:cs="Times New Roman"/>
          <w:bCs/>
          <w:color w:val="000000"/>
          <w:sz w:val="24"/>
          <w:szCs w:val="24"/>
          <w:lang w:val="en-US"/>
        </w:rPr>
        <w:t>♂</w:t>
      </w:r>
      <w:r w:rsidRPr="000E78C4">
        <w:rPr>
          <w:rFonts w:ascii="Times New Roman" w:hAnsi="Times New Roman" w:cs="Times New Roman"/>
          <w:sz w:val="24"/>
          <w:szCs w:val="24"/>
          <w:lang w:val="en-US"/>
        </w:rPr>
        <w:t>:17</w:t>
      </w:r>
      <w:r w:rsidRPr="000E78C4">
        <w:rPr>
          <w:rFonts w:ascii="Times New Roman" w:eastAsia="Times New Roman" w:hAnsi="Times New Roman" w:cs="Times New Roman"/>
          <w:bCs/>
          <w:color w:val="000000"/>
          <w:sz w:val="24"/>
          <w:szCs w:val="24"/>
          <w:lang w:val="en-US"/>
        </w:rPr>
        <w:t>♀</w:t>
      </w:r>
      <w:r w:rsidRPr="000E78C4">
        <w:rPr>
          <w:rFonts w:ascii="Times New Roman" w:hAnsi="Times New Roman" w:cs="Times New Roman"/>
          <w:sz w:val="24"/>
          <w:szCs w:val="24"/>
          <w:lang w:val="en-US"/>
        </w:rPr>
        <w:t>), (b) Perirenal: N=36 (17</w:t>
      </w:r>
      <w:r w:rsidRPr="000E78C4">
        <w:rPr>
          <w:rFonts w:ascii="Times New Roman" w:eastAsia="Times New Roman" w:hAnsi="Times New Roman" w:cs="Times New Roman"/>
          <w:bCs/>
          <w:color w:val="000000"/>
          <w:sz w:val="24"/>
          <w:szCs w:val="24"/>
          <w:lang w:val="en-US"/>
        </w:rPr>
        <w:t>♂</w:t>
      </w:r>
      <w:r w:rsidRPr="000E78C4">
        <w:rPr>
          <w:rFonts w:ascii="Times New Roman" w:hAnsi="Times New Roman" w:cs="Times New Roman"/>
          <w:sz w:val="24"/>
          <w:szCs w:val="24"/>
          <w:lang w:val="en-US"/>
        </w:rPr>
        <w:t>:19</w:t>
      </w:r>
      <w:r w:rsidRPr="000E78C4">
        <w:rPr>
          <w:rFonts w:ascii="Times New Roman" w:eastAsia="Times New Roman" w:hAnsi="Times New Roman" w:cs="Times New Roman"/>
          <w:bCs/>
          <w:color w:val="000000"/>
          <w:sz w:val="24"/>
          <w:szCs w:val="24"/>
          <w:lang w:val="en-US"/>
        </w:rPr>
        <w:t>♀</w:t>
      </w:r>
      <w:r w:rsidRPr="000E78C4">
        <w:rPr>
          <w:rFonts w:ascii="Times New Roman" w:hAnsi="Times New Roman" w:cs="Times New Roman"/>
          <w:sz w:val="24"/>
          <w:szCs w:val="24"/>
          <w:lang w:val="en-US"/>
        </w:rPr>
        <w:t>), (c) Mesenteric: N=31 (13</w:t>
      </w:r>
      <w:r w:rsidRPr="000E78C4">
        <w:rPr>
          <w:rFonts w:ascii="Times New Roman" w:eastAsia="Times New Roman" w:hAnsi="Times New Roman" w:cs="Times New Roman"/>
          <w:bCs/>
          <w:color w:val="000000"/>
          <w:sz w:val="24"/>
          <w:szCs w:val="24"/>
          <w:lang w:val="en-US"/>
        </w:rPr>
        <w:t>♂</w:t>
      </w:r>
      <w:r w:rsidRPr="000E78C4">
        <w:rPr>
          <w:rFonts w:ascii="Times New Roman" w:hAnsi="Times New Roman" w:cs="Times New Roman"/>
          <w:sz w:val="24"/>
          <w:szCs w:val="24"/>
          <w:lang w:val="en-US"/>
        </w:rPr>
        <w:t>:18</w:t>
      </w:r>
      <w:r w:rsidRPr="000E78C4">
        <w:rPr>
          <w:rFonts w:ascii="Times New Roman" w:eastAsia="Times New Roman" w:hAnsi="Times New Roman" w:cs="Times New Roman"/>
          <w:bCs/>
          <w:color w:val="000000"/>
          <w:sz w:val="24"/>
          <w:szCs w:val="24"/>
          <w:lang w:val="en-US"/>
        </w:rPr>
        <w:t>♀</w:t>
      </w:r>
      <w:r w:rsidRPr="000E78C4">
        <w:rPr>
          <w:rFonts w:ascii="Times New Roman" w:hAnsi="Times New Roman" w:cs="Times New Roman"/>
          <w:sz w:val="24"/>
          <w:szCs w:val="24"/>
          <w:lang w:val="en-US"/>
        </w:rPr>
        <w:t>) and</w:t>
      </w:r>
      <w:r>
        <w:rPr>
          <w:rFonts w:ascii="Times New Roman" w:hAnsi="Times New Roman" w:cs="Times New Roman"/>
          <w:sz w:val="24"/>
          <w:szCs w:val="24"/>
          <w:lang w:val="en-US"/>
        </w:rPr>
        <w:t>,</w:t>
      </w:r>
      <w:r w:rsidRPr="000E78C4">
        <w:rPr>
          <w:rFonts w:ascii="Times New Roman" w:hAnsi="Times New Roman" w:cs="Times New Roman"/>
          <w:sz w:val="24"/>
          <w:szCs w:val="24"/>
          <w:lang w:val="en-US"/>
        </w:rPr>
        <w:t xml:space="preserve"> (d) Epicardial: N=27 (17</w:t>
      </w:r>
      <w:r w:rsidRPr="000E78C4">
        <w:rPr>
          <w:rFonts w:ascii="Times New Roman" w:eastAsia="Times New Roman" w:hAnsi="Times New Roman" w:cs="Times New Roman"/>
          <w:bCs/>
          <w:color w:val="000000"/>
          <w:sz w:val="24"/>
          <w:szCs w:val="24"/>
          <w:lang w:val="en-US"/>
        </w:rPr>
        <w:t>♂</w:t>
      </w:r>
      <w:r w:rsidRPr="000E78C4">
        <w:rPr>
          <w:rFonts w:ascii="Times New Roman" w:hAnsi="Times New Roman" w:cs="Times New Roman"/>
          <w:sz w:val="24"/>
          <w:szCs w:val="24"/>
          <w:lang w:val="en-US"/>
        </w:rPr>
        <w:t>: 20</w:t>
      </w:r>
      <w:r w:rsidRPr="000E78C4">
        <w:rPr>
          <w:rFonts w:ascii="Times New Roman" w:eastAsia="Times New Roman" w:hAnsi="Times New Roman" w:cs="Times New Roman"/>
          <w:bCs/>
          <w:color w:val="000000"/>
          <w:sz w:val="24"/>
          <w:szCs w:val="24"/>
          <w:lang w:val="en-US"/>
        </w:rPr>
        <w:t>♀</w:t>
      </w:r>
      <w:r w:rsidRPr="000E78C4">
        <w:rPr>
          <w:rFonts w:ascii="Times New Roman" w:hAnsi="Times New Roman" w:cs="Times New Roman"/>
          <w:sz w:val="24"/>
          <w:szCs w:val="24"/>
          <w:lang w:val="en-US"/>
        </w:rPr>
        <w:t>).</w:t>
      </w:r>
    </w:p>
    <w:p w:rsidR="007469D6" w:rsidRPr="000E78C4" w:rsidRDefault="007469D6" w:rsidP="007469D6">
      <w:pPr>
        <w:spacing w:after="0" w:line="480" w:lineRule="auto"/>
        <w:rPr>
          <w:lang w:val="en-US"/>
        </w:rPr>
      </w:pPr>
    </w:p>
    <w:p w:rsidR="007469D6" w:rsidRDefault="007469D6" w:rsidP="007469D6">
      <w:pPr>
        <w:pStyle w:val="ListParagraph"/>
        <w:spacing w:after="0" w:line="480" w:lineRule="auto"/>
        <w:ind w:left="0"/>
        <w:rPr>
          <w:rFonts w:ascii="Times New Roman" w:hAnsi="Times New Roman" w:cs="Times New Roman"/>
          <w:sz w:val="24"/>
          <w:szCs w:val="24"/>
          <w:lang w:val="en-US"/>
        </w:rPr>
      </w:pPr>
      <w:r w:rsidRPr="00FF5771">
        <w:rPr>
          <w:rFonts w:ascii="Times New Roman" w:hAnsi="Times New Roman" w:cs="Times New Roman"/>
          <w:noProof/>
          <w:sz w:val="24"/>
          <w:szCs w:val="24"/>
          <w:lang w:val="en-US"/>
        </w:rPr>
        <w:drawing>
          <wp:inline distT="0" distB="0" distL="0" distR="0" wp14:anchorId="66C36304" wp14:editId="70BA6BDD">
            <wp:extent cx="5943600" cy="2945608"/>
            <wp:effectExtent l="0" t="0" r="0" b="7620"/>
            <wp:docPr id="20" name="Picture 20" descr="U:\PAPER SUBMISSION\Journal of Animal Science and Biotechnology\Figure\Supplementary 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APER SUBMISSION\Journal of Animal Science and Biotechnology\Figure\Supplementary Figure 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945608"/>
                    </a:xfrm>
                    <a:prstGeom prst="rect">
                      <a:avLst/>
                    </a:prstGeom>
                    <a:noFill/>
                    <a:ln>
                      <a:noFill/>
                    </a:ln>
                  </pic:spPr>
                </pic:pic>
              </a:graphicData>
            </a:graphic>
          </wp:inline>
        </w:drawing>
      </w:r>
    </w:p>
    <w:p w:rsidR="007469D6" w:rsidRPr="000E78C4" w:rsidRDefault="007469D6" w:rsidP="007469D6">
      <w:pPr>
        <w:pStyle w:val="ListParagraph"/>
        <w:spacing w:after="0" w:line="480" w:lineRule="auto"/>
        <w:ind w:left="0"/>
        <w:rPr>
          <w:rFonts w:ascii="Times New Roman" w:hAnsi="Times New Roman" w:cs="Times New Roman"/>
          <w:sz w:val="24"/>
          <w:szCs w:val="24"/>
          <w:lang w:val="en-US"/>
        </w:rPr>
      </w:pPr>
    </w:p>
    <w:p w:rsidR="007469D6" w:rsidRPr="00E83980" w:rsidRDefault="007469D6" w:rsidP="007469D6">
      <w:pPr>
        <w:spacing w:after="0" w:line="480" w:lineRule="auto"/>
        <w:rPr>
          <w:rFonts w:ascii="Times New Roman" w:eastAsia="Times New Roman" w:hAnsi="Times New Roman" w:cs="Times New Roman"/>
          <w:color w:val="000000"/>
          <w:sz w:val="24"/>
          <w:szCs w:val="24"/>
          <w:lang w:val="en-US"/>
        </w:rPr>
      </w:pPr>
      <w:r w:rsidRPr="000E78C4">
        <w:rPr>
          <w:rFonts w:ascii="Times New Roman" w:hAnsi="Times New Roman" w:cs="Times New Roman"/>
          <w:b/>
          <w:sz w:val="24"/>
          <w:szCs w:val="24"/>
          <w:lang w:val="en-US"/>
        </w:rPr>
        <w:t xml:space="preserve">Figure </w:t>
      </w:r>
      <w:r w:rsidR="009C0064">
        <w:rPr>
          <w:rFonts w:ascii="Times New Roman" w:hAnsi="Times New Roman" w:cs="Times New Roman"/>
          <w:b/>
          <w:sz w:val="24"/>
          <w:szCs w:val="24"/>
          <w:lang w:val="en-US"/>
        </w:rPr>
        <w:t>S</w:t>
      </w:r>
      <w:r w:rsidRPr="000E78C4">
        <w:rPr>
          <w:rFonts w:ascii="Times New Roman" w:hAnsi="Times New Roman" w:cs="Times New Roman"/>
          <w:b/>
          <w:sz w:val="24"/>
          <w:szCs w:val="24"/>
          <w:lang w:val="en-US"/>
        </w:rPr>
        <w:t>4</w:t>
      </w:r>
      <w:r w:rsidRPr="000E78C4">
        <w:rPr>
          <w:rFonts w:ascii="Times New Roman" w:hAnsi="Times New Roman" w:cs="Times New Roman"/>
          <w:sz w:val="24"/>
          <w:szCs w:val="24"/>
          <w:lang w:val="en-US"/>
        </w:rPr>
        <w:t xml:space="preserve"> Sex independent and sex-dependent effects of postnatal nutrition on mRNA expressions (relative to that of the reference gene, beta-actin) in (A) subcutaneous, (B) perirenal, (C) mesenteric, and (D) epicardial adipose tissues from 2½ years old </w:t>
      </w:r>
      <w:r w:rsidRPr="000E78C4">
        <w:rPr>
          <w:rFonts w:ascii="Times New Roman" w:eastAsia="Times New Roman" w:hAnsi="Times New Roman" w:cs="Times New Roman"/>
          <w:sz w:val="24"/>
          <w:szCs w:val="24"/>
          <w:lang w:val="en-US" w:eastAsia="da-DK"/>
        </w:rPr>
        <w:t>male (♂) and female (♀)</w:t>
      </w:r>
      <w:r w:rsidRPr="000E78C4">
        <w:rPr>
          <w:rFonts w:ascii="Times New Roman" w:hAnsi="Times New Roman" w:cs="Times New Roman"/>
          <w:sz w:val="24"/>
          <w:szCs w:val="24"/>
          <w:lang w:val="en-US"/>
        </w:rPr>
        <w:t xml:space="preserve"> adult sheep. </w:t>
      </w:r>
      <w:r w:rsidRPr="000E78C4">
        <w:rPr>
          <w:rFonts w:ascii="Times New Roman" w:eastAsia="Times New Roman" w:hAnsi="Times New Roman" w:cs="Times New Roman"/>
          <w:sz w:val="24"/>
          <w:szCs w:val="24"/>
          <w:lang w:val="en-US" w:eastAsia="da-DK"/>
        </w:rPr>
        <w:t xml:space="preserve">All sheep were born as twins from mothers, which during the last 6 weeks of gestation (term~147 days) had been exposed to NORM (fulfilling 100% of daily energy and protein requirements); HIGH (fulfilling 150% of energy and 110% of protein requirements, respectively); or LOW (50% of NORM) levels of nutrition. From 3-days of age until 6 months of age (post-puberty), one twin was fed a CONV diet (milk replacer during the first 8 weeks of life and exclusively hay thereafter, and adjusted in amounts to achieve moderate constant growth </w:t>
      </w:r>
      <w:r w:rsidRPr="000E78C4">
        <w:rPr>
          <w:rFonts w:ascii="Times New Roman" w:eastAsia="Times New Roman" w:hAnsi="Times New Roman" w:cs="Times New Roman"/>
          <w:sz w:val="24"/>
          <w:szCs w:val="24"/>
          <w:lang w:val="en-US" w:eastAsia="da-DK"/>
        </w:rPr>
        <w:lastRenderedPageBreak/>
        <w:t xml:space="preserve">rates of approx. 225 g/day) and the other twin a HCHF diet (high carbohydrate (starch)-high-fat diet (37% fat dairy cream mixed with milk replacer in a 1:1 ratio (max. 2½ l/day) supplemented with rolled maize (max. 2 kg/d)). From 6 months until 2½ years of age, all sheep were fed with the same CONV (low-fat hay-based diet). </w:t>
      </w:r>
      <w:r w:rsidRPr="000E78C4">
        <w:rPr>
          <w:rFonts w:ascii="Times New Roman" w:hAnsi="Times New Roman" w:cs="Times New Roman"/>
          <w:sz w:val="24"/>
          <w:szCs w:val="24"/>
          <w:lang w:val="en-US"/>
        </w:rPr>
        <w:t xml:space="preserve">Values are expressed as emmean ± SEM. </w:t>
      </w:r>
      <w:r w:rsidRPr="000E78C4">
        <w:rPr>
          <w:rFonts w:ascii="Times New Roman" w:eastAsia="Calibri" w:hAnsi="Times New Roman" w:cs="Times New Roman"/>
          <w:bCs/>
          <w:sz w:val="24"/>
          <w:szCs w:val="24"/>
          <w:vertAlign w:val="superscript"/>
          <w:lang w:val="en-US"/>
        </w:rPr>
        <w:t xml:space="preserve">abc </w:t>
      </w:r>
      <w:r>
        <w:rPr>
          <w:rFonts w:ascii="Times New Roman" w:eastAsia="Calibri" w:hAnsi="Times New Roman" w:cs="Times New Roman"/>
          <w:bCs/>
          <w:sz w:val="24"/>
          <w:szCs w:val="24"/>
          <w:lang w:val="en-US"/>
        </w:rPr>
        <w:t>Significant differences between</w:t>
      </w:r>
      <w:r w:rsidRPr="000E78C4">
        <w:rPr>
          <w:rFonts w:ascii="Times New Roman" w:eastAsia="Calibri" w:hAnsi="Times New Roman" w:cs="Times New Roman"/>
          <w:bCs/>
          <w:sz w:val="24"/>
          <w:szCs w:val="24"/>
          <w:lang w:val="en-US"/>
        </w:rPr>
        <w:t xml:space="preserve"> groups are denoted by different superscript letters.</w:t>
      </w:r>
      <w:r w:rsidRPr="000E78C4">
        <w:rPr>
          <w:rFonts w:ascii="Times New Roman" w:hAnsi="Times New Roman" w:cs="Times New Roman"/>
          <w:sz w:val="24"/>
          <w:szCs w:val="24"/>
          <w:lang w:val="en-US"/>
        </w:rPr>
        <w:t xml:space="preserve"> </w:t>
      </w:r>
      <w:r w:rsidRPr="000E78C4">
        <w:rPr>
          <w:rFonts w:ascii="Times New Roman" w:eastAsia="Times New Roman" w:hAnsi="Times New Roman" w:cs="Times New Roman"/>
          <w:color w:val="000000"/>
          <w:sz w:val="24"/>
          <w:szCs w:val="24"/>
          <w:lang w:val="en-US"/>
        </w:rPr>
        <w:t xml:space="preserve">The numbers of animals in postnatal nutrition groups were: </w:t>
      </w:r>
      <w:r>
        <w:rPr>
          <w:rFonts w:ascii="Times New Roman" w:eastAsia="Times New Roman" w:hAnsi="Times New Roman" w:cs="Times New Roman"/>
          <w:color w:val="000000"/>
          <w:sz w:val="24"/>
          <w:szCs w:val="24"/>
          <w:lang w:val="en-US"/>
        </w:rPr>
        <w:t xml:space="preserve">(a) </w:t>
      </w:r>
      <w:r w:rsidRPr="000E78C4">
        <w:rPr>
          <w:rFonts w:ascii="Times New Roman" w:eastAsia="Times New Roman" w:hAnsi="Times New Roman" w:cs="Times New Roman"/>
          <w:color w:val="000000"/>
          <w:sz w:val="24"/>
          <w:szCs w:val="24"/>
          <w:lang w:val="en-US"/>
        </w:rPr>
        <w:t>Subcutaneous: CONV (N= 18, 6</w:t>
      </w:r>
      <w:r w:rsidRPr="000E78C4">
        <w:rPr>
          <w:rFonts w:ascii="Times New Roman" w:eastAsia="Times New Roman" w:hAnsi="Times New Roman" w:cs="Times New Roman"/>
          <w:bCs/>
          <w:color w:val="000000"/>
          <w:sz w:val="24"/>
          <w:szCs w:val="24"/>
          <w:lang w:val="en-US"/>
        </w:rPr>
        <w:t>♂</w:t>
      </w:r>
      <w:r w:rsidRPr="000E78C4">
        <w:rPr>
          <w:rFonts w:ascii="Times New Roman" w:eastAsia="Times New Roman" w:hAnsi="Times New Roman" w:cs="Times New Roman"/>
          <w:color w:val="000000"/>
          <w:sz w:val="24"/>
          <w:szCs w:val="24"/>
          <w:lang w:val="en-US"/>
        </w:rPr>
        <w:t>:12</w:t>
      </w:r>
      <w:r w:rsidRPr="000E78C4">
        <w:rPr>
          <w:rFonts w:ascii="Times New Roman" w:eastAsia="Times New Roman" w:hAnsi="Times New Roman" w:cs="Times New Roman"/>
          <w:bCs/>
          <w:color w:val="000000"/>
          <w:sz w:val="24"/>
          <w:szCs w:val="24"/>
          <w:lang w:val="en-US"/>
        </w:rPr>
        <w:t>♀</w:t>
      </w:r>
      <w:r w:rsidRPr="000E78C4">
        <w:rPr>
          <w:rFonts w:ascii="Times New Roman" w:eastAsia="Times New Roman" w:hAnsi="Times New Roman" w:cs="Times New Roman"/>
          <w:color w:val="000000"/>
          <w:sz w:val="24"/>
          <w:szCs w:val="24"/>
          <w:lang w:val="en-US"/>
        </w:rPr>
        <w:t>); HCHF (N=17, 9</w:t>
      </w:r>
      <w:r w:rsidRPr="000E78C4">
        <w:rPr>
          <w:rFonts w:ascii="Times New Roman" w:eastAsia="Times New Roman" w:hAnsi="Times New Roman" w:cs="Times New Roman"/>
          <w:bCs/>
          <w:color w:val="000000"/>
          <w:sz w:val="24"/>
          <w:szCs w:val="24"/>
          <w:lang w:val="en-US"/>
        </w:rPr>
        <w:t>♂</w:t>
      </w:r>
      <w:r w:rsidRPr="000E78C4">
        <w:rPr>
          <w:rFonts w:ascii="Times New Roman" w:eastAsia="Times New Roman" w:hAnsi="Times New Roman" w:cs="Times New Roman"/>
          <w:color w:val="000000"/>
          <w:sz w:val="24"/>
          <w:szCs w:val="24"/>
          <w:lang w:val="en-US"/>
        </w:rPr>
        <w:t>:8</w:t>
      </w:r>
      <w:r w:rsidRPr="000E78C4">
        <w:rPr>
          <w:rFonts w:ascii="Times New Roman" w:eastAsia="Times New Roman" w:hAnsi="Times New Roman" w:cs="Times New Roman"/>
          <w:bCs/>
          <w:color w:val="000000"/>
          <w:sz w:val="24"/>
          <w:szCs w:val="24"/>
          <w:lang w:val="en-US"/>
        </w:rPr>
        <w:t>♀</w:t>
      </w:r>
      <w:r>
        <w:rPr>
          <w:rFonts w:ascii="Times New Roman" w:eastAsia="Times New Roman" w:hAnsi="Times New Roman" w:cs="Times New Roman"/>
          <w:color w:val="000000"/>
          <w:sz w:val="24"/>
          <w:szCs w:val="24"/>
          <w:lang w:val="en-US"/>
        </w:rPr>
        <w:t xml:space="preserve">), (b) </w:t>
      </w:r>
      <w:r w:rsidRPr="000E78C4">
        <w:rPr>
          <w:rFonts w:ascii="Times New Roman" w:eastAsia="Times New Roman" w:hAnsi="Times New Roman" w:cs="Times New Roman"/>
          <w:color w:val="000000"/>
          <w:sz w:val="24"/>
          <w:szCs w:val="24"/>
          <w:lang w:val="en-US"/>
        </w:rPr>
        <w:t>Perirenal: CONV (N=20, 8</w:t>
      </w:r>
      <w:r w:rsidRPr="000E78C4">
        <w:rPr>
          <w:rFonts w:ascii="Times New Roman" w:eastAsia="Times New Roman" w:hAnsi="Times New Roman" w:cs="Times New Roman"/>
          <w:bCs/>
          <w:color w:val="000000"/>
          <w:sz w:val="24"/>
          <w:szCs w:val="24"/>
          <w:lang w:val="en-US"/>
        </w:rPr>
        <w:t>♂</w:t>
      </w:r>
      <w:r w:rsidRPr="000E78C4">
        <w:rPr>
          <w:rFonts w:ascii="Times New Roman" w:eastAsia="Times New Roman" w:hAnsi="Times New Roman" w:cs="Times New Roman"/>
          <w:color w:val="000000"/>
          <w:sz w:val="24"/>
          <w:szCs w:val="24"/>
          <w:lang w:val="en-US"/>
        </w:rPr>
        <w:t>:12</w:t>
      </w:r>
      <w:r w:rsidRPr="000E78C4">
        <w:rPr>
          <w:rFonts w:ascii="Times New Roman" w:eastAsia="Times New Roman" w:hAnsi="Times New Roman" w:cs="Times New Roman"/>
          <w:bCs/>
          <w:color w:val="000000"/>
          <w:sz w:val="24"/>
          <w:szCs w:val="24"/>
          <w:lang w:val="en-US"/>
        </w:rPr>
        <w:t>♀</w:t>
      </w:r>
      <w:r w:rsidRPr="000E78C4">
        <w:rPr>
          <w:rFonts w:ascii="Times New Roman" w:eastAsia="Times New Roman" w:hAnsi="Times New Roman" w:cs="Times New Roman"/>
          <w:color w:val="000000"/>
          <w:sz w:val="24"/>
          <w:szCs w:val="24"/>
          <w:lang w:val="en-US"/>
        </w:rPr>
        <w:t>); HCHF (N=17, 9</w:t>
      </w:r>
      <w:r w:rsidRPr="000E78C4">
        <w:rPr>
          <w:rFonts w:ascii="Times New Roman" w:eastAsia="Times New Roman" w:hAnsi="Times New Roman" w:cs="Times New Roman"/>
          <w:bCs/>
          <w:color w:val="000000"/>
          <w:sz w:val="24"/>
          <w:szCs w:val="24"/>
          <w:lang w:val="en-US"/>
        </w:rPr>
        <w:t>♂</w:t>
      </w:r>
      <w:r w:rsidRPr="000E78C4">
        <w:rPr>
          <w:rFonts w:ascii="Times New Roman" w:eastAsia="Times New Roman" w:hAnsi="Times New Roman" w:cs="Times New Roman"/>
          <w:color w:val="000000"/>
          <w:sz w:val="24"/>
          <w:szCs w:val="24"/>
          <w:lang w:val="en-US"/>
        </w:rPr>
        <w:t>:8</w:t>
      </w:r>
      <w:r w:rsidRPr="000E78C4">
        <w:rPr>
          <w:rFonts w:ascii="Times New Roman" w:eastAsia="Times New Roman" w:hAnsi="Times New Roman" w:cs="Times New Roman"/>
          <w:bCs/>
          <w:color w:val="000000"/>
          <w:sz w:val="24"/>
          <w:szCs w:val="24"/>
          <w:lang w:val="en-US"/>
        </w:rPr>
        <w:t>♀</w:t>
      </w:r>
      <w:r>
        <w:rPr>
          <w:rFonts w:ascii="Times New Roman" w:eastAsia="Times New Roman" w:hAnsi="Times New Roman" w:cs="Times New Roman"/>
          <w:color w:val="000000"/>
          <w:sz w:val="24"/>
          <w:szCs w:val="24"/>
          <w:lang w:val="en-US"/>
        </w:rPr>
        <w:t>), (c)</w:t>
      </w:r>
      <w:r w:rsidRPr="000E78C4">
        <w:rPr>
          <w:rFonts w:ascii="Times New Roman" w:eastAsia="Times New Roman" w:hAnsi="Times New Roman" w:cs="Times New Roman"/>
          <w:color w:val="000000"/>
          <w:sz w:val="24"/>
          <w:szCs w:val="24"/>
          <w:lang w:val="en-US"/>
        </w:rPr>
        <w:t xml:space="preserve"> Mesenteric: CONV (N=20, 8</w:t>
      </w:r>
      <w:r w:rsidRPr="000E78C4">
        <w:rPr>
          <w:rFonts w:ascii="Times New Roman" w:eastAsia="Times New Roman" w:hAnsi="Times New Roman" w:cs="Times New Roman"/>
          <w:bCs/>
          <w:color w:val="000000"/>
          <w:sz w:val="24"/>
          <w:szCs w:val="24"/>
          <w:lang w:val="en-US"/>
        </w:rPr>
        <w:t>♂</w:t>
      </w:r>
      <w:r w:rsidRPr="000E78C4">
        <w:rPr>
          <w:rFonts w:ascii="Times New Roman" w:eastAsia="Times New Roman" w:hAnsi="Times New Roman" w:cs="Times New Roman"/>
          <w:color w:val="000000"/>
          <w:sz w:val="24"/>
          <w:szCs w:val="24"/>
          <w:lang w:val="en-US"/>
        </w:rPr>
        <w:t>:12F</w:t>
      </w:r>
      <w:r w:rsidRPr="000E78C4">
        <w:rPr>
          <w:rFonts w:ascii="Times New Roman" w:eastAsia="Times New Roman" w:hAnsi="Times New Roman" w:cs="Times New Roman"/>
          <w:bCs/>
          <w:color w:val="000000"/>
          <w:sz w:val="24"/>
          <w:szCs w:val="24"/>
          <w:lang w:val="en-US"/>
        </w:rPr>
        <w:t>♀</w:t>
      </w:r>
      <w:r w:rsidRPr="000E78C4">
        <w:rPr>
          <w:rFonts w:ascii="Times New Roman" w:eastAsia="Times New Roman" w:hAnsi="Times New Roman" w:cs="Times New Roman"/>
          <w:color w:val="000000"/>
          <w:sz w:val="24"/>
          <w:szCs w:val="24"/>
          <w:lang w:val="en-US"/>
        </w:rPr>
        <w:t>); HCHF (N=17, 9</w:t>
      </w:r>
      <w:r w:rsidRPr="000E78C4">
        <w:rPr>
          <w:rFonts w:ascii="Times New Roman" w:eastAsia="Times New Roman" w:hAnsi="Times New Roman" w:cs="Times New Roman"/>
          <w:bCs/>
          <w:color w:val="000000"/>
          <w:sz w:val="24"/>
          <w:szCs w:val="24"/>
          <w:lang w:val="en-US"/>
        </w:rPr>
        <w:t>♂</w:t>
      </w:r>
      <w:r w:rsidRPr="000E78C4">
        <w:rPr>
          <w:rFonts w:ascii="Times New Roman" w:eastAsia="Times New Roman" w:hAnsi="Times New Roman" w:cs="Times New Roman"/>
          <w:color w:val="000000"/>
          <w:sz w:val="24"/>
          <w:szCs w:val="24"/>
          <w:lang w:val="en-US"/>
        </w:rPr>
        <w:t>:8</w:t>
      </w:r>
      <w:r w:rsidRPr="000E78C4">
        <w:rPr>
          <w:rFonts w:ascii="Times New Roman" w:eastAsia="Times New Roman" w:hAnsi="Times New Roman" w:cs="Times New Roman"/>
          <w:bCs/>
          <w:color w:val="000000"/>
          <w:sz w:val="24"/>
          <w:szCs w:val="24"/>
          <w:lang w:val="en-US"/>
        </w:rPr>
        <w:t>♀</w:t>
      </w:r>
      <w:r>
        <w:rPr>
          <w:rFonts w:ascii="Times New Roman" w:eastAsia="Times New Roman" w:hAnsi="Times New Roman" w:cs="Times New Roman"/>
          <w:color w:val="000000"/>
          <w:sz w:val="24"/>
          <w:szCs w:val="24"/>
          <w:lang w:val="en-US"/>
        </w:rPr>
        <w:t>) and, (d)</w:t>
      </w:r>
      <w:r w:rsidRPr="000E78C4">
        <w:rPr>
          <w:rFonts w:ascii="Times New Roman" w:eastAsia="Times New Roman" w:hAnsi="Times New Roman" w:cs="Times New Roman"/>
          <w:color w:val="000000"/>
          <w:sz w:val="24"/>
          <w:szCs w:val="24"/>
          <w:lang w:val="en-US"/>
        </w:rPr>
        <w:t xml:space="preserve"> Epicardial: CONV (N=20, 8</w:t>
      </w:r>
      <w:r w:rsidRPr="000E78C4">
        <w:rPr>
          <w:rFonts w:ascii="Times New Roman" w:eastAsia="Times New Roman" w:hAnsi="Times New Roman" w:cs="Times New Roman"/>
          <w:bCs/>
          <w:color w:val="000000"/>
          <w:sz w:val="24"/>
          <w:szCs w:val="24"/>
          <w:lang w:val="en-US"/>
        </w:rPr>
        <w:t>♂</w:t>
      </w:r>
      <w:r w:rsidRPr="000E78C4">
        <w:rPr>
          <w:rFonts w:ascii="Times New Roman" w:eastAsia="Times New Roman" w:hAnsi="Times New Roman" w:cs="Times New Roman"/>
          <w:color w:val="000000"/>
          <w:sz w:val="24"/>
          <w:szCs w:val="24"/>
          <w:lang w:val="en-US"/>
        </w:rPr>
        <w:t>:20</w:t>
      </w:r>
      <w:r w:rsidRPr="000E78C4">
        <w:rPr>
          <w:rFonts w:ascii="Times New Roman" w:eastAsia="Times New Roman" w:hAnsi="Times New Roman" w:cs="Times New Roman"/>
          <w:bCs/>
          <w:color w:val="000000"/>
          <w:sz w:val="24"/>
          <w:szCs w:val="24"/>
          <w:lang w:val="en-US"/>
        </w:rPr>
        <w:t>♀</w:t>
      </w:r>
      <w:r w:rsidRPr="000E78C4">
        <w:rPr>
          <w:rFonts w:ascii="Times New Roman" w:eastAsia="Times New Roman" w:hAnsi="Times New Roman" w:cs="Times New Roman"/>
          <w:color w:val="000000"/>
          <w:sz w:val="24"/>
          <w:szCs w:val="24"/>
          <w:lang w:val="en-US"/>
        </w:rPr>
        <w:t>); HCHF (N=17, 9</w:t>
      </w:r>
      <w:r w:rsidRPr="000E78C4">
        <w:rPr>
          <w:rFonts w:ascii="Times New Roman" w:eastAsia="Times New Roman" w:hAnsi="Times New Roman" w:cs="Times New Roman"/>
          <w:bCs/>
          <w:color w:val="000000"/>
          <w:sz w:val="24"/>
          <w:szCs w:val="24"/>
          <w:lang w:val="en-US"/>
        </w:rPr>
        <w:t>♂</w:t>
      </w:r>
      <w:r w:rsidRPr="000E78C4">
        <w:rPr>
          <w:rFonts w:ascii="Times New Roman" w:eastAsia="Times New Roman" w:hAnsi="Times New Roman" w:cs="Times New Roman"/>
          <w:color w:val="000000"/>
          <w:sz w:val="24"/>
          <w:szCs w:val="24"/>
          <w:lang w:val="en-US"/>
        </w:rPr>
        <w:t>:8</w:t>
      </w:r>
      <w:r w:rsidRPr="000E78C4">
        <w:rPr>
          <w:rFonts w:ascii="Times New Roman" w:eastAsia="Times New Roman" w:hAnsi="Times New Roman" w:cs="Times New Roman"/>
          <w:bCs/>
          <w:color w:val="000000"/>
          <w:sz w:val="24"/>
          <w:szCs w:val="24"/>
          <w:lang w:val="en-US"/>
        </w:rPr>
        <w:t>♀</w:t>
      </w:r>
      <w:r w:rsidRPr="000E78C4">
        <w:rPr>
          <w:rFonts w:ascii="Times New Roman" w:eastAsia="Times New Roman" w:hAnsi="Times New Roman" w:cs="Times New Roman"/>
          <w:color w:val="000000"/>
          <w:sz w:val="24"/>
          <w:szCs w:val="24"/>
          <w:lang w:val="en-US"/>
        </w:rPr>
        <w:t>).</w:t>
      </w:r>
    </w:p>
    <w:p w:rsidR="00A549EF" w:rsidRPr="007469D6" w:rsidRDefault="003D2F4C">
      <w:pPr>
        <w:rPr>
          <w:lang w:val="en-US"/>
        </w:rPr>
      </w:pPr>
    </w:p>
    <w:sectPr w:rsidR="00A549EF" w:rsidRPr="007469D6" w:rsidSect="003D2F4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9D6"/>
    <w:rsid w:val="001B2AB2"/>
    <w:rsid w:val="003D2F4C"/>
    <w:rsid w:val="004A63CA"/>
    <w:rsid w:val="00577CD2"/>
    <w:rsid w:val="005C69A7"/>
    <w:rsid w:val="007469D6"/>
    <w:rsid w:val="009C0064"/>
    <w:rsid w:val="00FD1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E85DE0-44A2-416F-80E5-287045D54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69D6"/>
    <w:pPr>
      <w:spacing w:after="200" w:line="276" w:lineRule="auto"/>
    </w:pPr>
    <w:rPr>
      <w:lang w:val="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69D6"/>
    <w:pPr>
      <w:ind w:left="720"/>
      <w:contextualSpacing/>
    </w:pPr>
  </w:style>
  <w:style w:type="character" w:styleId="LineNumber">
    <w:name w:val="line number"/>
    <w:basedOn w:val="DefaultParagraphFont"/>
    <w:uiPriority w:val="99"/>
    <w:semiHidden/>
    <w:unhideWhenUsed/>
    <w:rsid w:val="007469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1203</Words>
  <Characters>6862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Aarhus University</Company>
  <LinksUpToDate>false</LinksUpToDate>
  <CharactersWithSpaces>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Sharmila Ahmad</dc:creator>
  <cp:keywords/>
  <dc:description/>
  <cp:lastModifiedBy>Sharmila Ahmad</cp:lastModifiedBy>
  <cp:revision>5</cp:revision>
  <dcterms:created xsi:type="dcterms:W3CDTF">2020-04-27T09:25:00Z</dcterms:created>
  <dcterms:modified xsi:type="dcterms:W3CDTF">2020-04-27T11:15:00Z</dcterms:modified>
</cp:coreProperties>
</file>