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35831" w14:textId="77777777" w:rsidR="00004819" w:rsidRPr="00D8050C" w:rsidRDefault="00004819" w:rsidP="00D8050C">
      <w:pPr>
        <w:spacing w:line="360" w:lineRule="auto"/>
        <w:rPr>
          <w:color w:val="000000" w:themeColor="text1"/>
          <w:lang w:val="en-GB"/>
        </w:rPr>
      </w:pPr>
    </w:p>
    <w:p w14:paraId="2EDEDF6B" w14:textId="77777777" w:rsidR="004E1FF3" w:rsidRPr="00D8050C" w:rsidRDefault="007F2531" w:rsidP="00D8050C">
      <w:pPr>
        <w:spacing w:line="360" w:lineRule="auto"/>
        <w:jc w:val="center"/>
        <w:rPr>
          <w:b/>
          <w:bCs/>
          <w:color w:val="000000" w:themeColor="text1"/>
          <w:lang w:val="en-GB"/>
        </w:rPr>
      </w:pPr>
      <w:r w:rsidRPr="00D8050C">
        <w:rPr>
          <w:b/>
          <w:bCs/>
          <w:color w:val="000000" w:themeColor="text1"/>
          <w:lang w:val="en-GB"/>
        </w:rPr>
        <w:t>Supplementary Information 13</w:t>
      </w:r>
    </w:p>
    <w:p w14:paraId="5FFA4428" w14:textId="79FB0AEB" w:rsidR="00926AE3" w:rsidRPr="00D8050C" w:rsidRDefault="007F2531" w:rsidP="00D8050C">
      <w:pPr>
        <w:spacing w:line="360" w:lineRule="auto"/>
        <w:jc w:val="center"/>
        <w:rPr>
          <w:b/>
          <w:bCs/>
          <w:color w:val="000000" w:themeColor="text1"/>
          <w:lang w:val="en-GB"/>
        </w:rPr>
      </w:pPr>
      <w:r w:rsidRPr="00D8050C">
        <w:rPr>
          <w:b/>
          <w:bCs/>
          <w:color w:val="000000" w:themeColor="text1"/>
          <w:lang w:val="en-GB"/>
        </w:rPr>
        <w:t>Archaeological Interpretation of Our Ancient DNA Analyses</w:t>
      </w:r>
    </w:p>
    <w:p w14:paraId="6AC3136F" w14:textId="5D7E76D3" w:rsidR="007E752B" w:rsidRPr="00D8050C" w:rsidRDefault="007E752B" w:rsidP="00D8050C">
      <w:pPr>
        <w:spacing w:line="360" w:lineRule="auto"/>
        <w:ind w:left="357"/>
        <w:rPr>
          <w:lang w:val="en-GB"/>
        </w:rPr>
      </w:pPr>
    </w:p>
    <w:p w14:paraId="7C21C379" w14:textId="4889C0D7" w:rsidR="00394DBF" w:rsidRPr="00D8050C" w:rsidRDefault="00F55510" w:rsidP="00D8050C">
      <w:pPr>
        <w:spacing w:line="360" w:lineRule="auto"/>
        <w:rPr>
          <w:lang w:val="en-GB"/>
        </w:rPr>
      </w:pPr>
      <w:r w:rsidRPr="00D8050C">
        <w:rPr>
          <w:b/>
          <w:bCs/>
          <w:lang w:val="en-GB"/>
        </w:rPr>
        <w:t>§</w:t>
      </w:r>
      <w:r w:rsidR="007F2531" w:rsidRPr="00D8050C">
        <w:rPr>
          <w:b/>
          <w:bCs/>
          <w:lang w:val="en-GB"/>
        </w:rPr>
        <w:t xml:space="preserve">1. </w:t>
      </w:r>
      <w:r w:rsidR="00B6120B" w:rsidRPr="00D8050C">
        <w:rPr>
          <w:b/>
          <w:bCs/>
          <w:lang w:val="en-GB"/>
        </w:rPr>
        <w:t xml:space="preserve">Authentication of </w:t>
      </w:r>
      <w:r w:rsidR="007F2531" w:rsidRPr="00D8050C">
        <w:rPr>
          <w:b/>
          <w:bCs/>
          <w:lang w:val="en-GB"/>
        </w:rPr>
        <w:t>A</w:t>
      </w:r>
      <w:r w:rsidR="00B6120B" w:rsidRPr="00D8050C">
        <w:rPr>
          <w:b/>
          <w:bCs/>
          <w:lang w:val="en-GB"/>
        </w:rPr>
        <w:t xml:space="preserve">ncient DNA </w:t>
      </w:r>
      <w:r w:rsidR="007F2531" w:rsidRPr="00D8050C">
        <w:rPr>
          <w:b/>
          <w:bCs/>
          <w:lang w:val="en-GB"/>
        </w:rPr>
        <w:t>D</w:t>
      </w:r>
      <w:r w:rsidR="00B6120B" w:rsidRPr="00D8050C">
        <w:rPr>
          <w:b/>
          <w:bCs/>
          <w:lang w:val="en-GB"/>
        </w:rPr>
        <w:t xml:space="preserve">ata </w:t>
      </w:r>
      <w:r w:rsidR="007F2531" w:rsidRPr="00D8050C">
        <w:rPr>
          <w:b/>
          <w:bCs/>
          <w:lang w:val="en-GB"/>
        </w:rPr>
        <w:t>G</w:t>
      </w:r>
      <w:r w:rsidR="00B6120B" w:rsidRPr="00D8050C">
        <w:rPr>
          <w:b/>
          <w:bCs/>
          <w:lang w:val="en-GB"/>
        </w:rPr>
        <w:t xml:space="preserve">enerated in this </w:t>
      </w:r>
      <w:r w:rsidR="007F2531" w:rsidRPr="00D8050C">
        <w:rPr>
          <w:b/>
          <w:bCs/>
          <w:lang w:val="en-GB"/>
        </w:rPr>
        <w:t>S</w:t>
      </w:r>
      <w:r w:rsidR="00B6120B" w:rsidRPr="00D8050C">
        <w:rPr>
          <w:b/>
          <w:bCs/>
          <w:lang w:val="en-GB"/>
        </w:rPr>
        <w:t>tudy</w:t>
      </w:r>
    </w:p>
    <w:p w14:paraId="3DD9A4CB" w14:textId="247ED89A" w:rsidR="002A3362" w:rsidRPr="00D8050C" w:rsidRDefault="00B6120B" w:rsidP="00D8050C">
      <w:pPr>
        <w:spacing w:line="360" w:lineRule="auto"/>
        <w:rPr>
          <w:color w:val="000000" w:themeColor="text1"/>
          <w:lang w:val="en-GB"/>
        </w:rPr>
      </w:pPr>
      <w:r w:rsidRPr="00D8050C">
        <w:rPr>
          <w:color w:val="000000" w:themeColor="text1"/>
          <w:lang w:val="en-GB"/>
        </w:rPr>
        <w:t xml:space="preserve">We applied multiple methods to ensure the authentication of our ancient genetic data in this study. </w:t>
      </w:r>
      <w:r w:rsidR="00314812" w:rsidRPr="00D8050C">
        <w:rPr>
          <w:color w:val="000000" w:themeColor="text1"/>
          <w:lang w:val="en-GB"/>
        </w:rPr>
        <w:t>We f</w:t>
      </w:r>
      <w:r w:rsidRPr="00D8050C">
        <w:rPr>
          <w:color w:val="000000" w:themeColor="text1"/>
          <w:lang w:val="en-GB"/>
        </w:rPr>
        <w:t>irst</w:t>
      </w:r>
      <w:r w:rsidR="00314812" w:rsidRPr="00D8050C">
        <w:rPr>
          <w:color w:val="000000" w:themeColor="text1"/>
          <w:lang w:val="en-GB"/>
        </w:rPr>
        <w:t xml:space="preserve"> tabulated</w:t>
      </w:r>
      <w:r w:rsidR="007F7B4B" w:rsidRPr="00D8050C">
        <w:rPr>
          <w:color w:val="000000" w:themeColor="text1"/>
          <w:lang w:val="en-GB"/>
        </w:rPr>
        <w:t xml:space="preserve"> the</w:t>
      </w:r>
      <w:r w:rsidR="00314812" w:rsidRPr="00D8050C">
        <w:rPr>
          <w:color w:val="000000" w:themeColor="text1"/>
          <w:lang w:val="en-GB"/>
        </w:rPr>
        <w:t xml:space="preserve"> C -&gt; T and G -&gt; A deamination rate at 3’ and 5’ ends</w:t>
      </w:r>
      <w:r w:rsidRPr="00D8050C">
        <w:rPr>
          <w:color w:val="000000" w:themeColor="text1"/>
          <w:lang w:val="en-GB"/>
        </w:rPr>
        <w:t xml:space="preserve"> </w:t>
      </w:r>
      <w:r w:rsidR="00314812" w:rsidRPr="00D8050C">
        <w:rPr>
          <w:color w:val="000000" w:themeColor="text1"/>
          <w:lang w:val="en-GB"/>
        </w:rPr>
        <w:t>respectively. As expected</w:t>
      </w:r>
      <w:r w:rsidR="007F7B4B" w:rsidRPr="00D8050C">
        <w:rPr>
          <w:color w:val="000000" w:themeColor="text1"/>
          <w:lang w:val="en-GB"/>
        </w:rPr>
        <w:t>,</w:t>
      </w:r>
      <w:r w:rsidR="00314812" w:rsidRPr="00D8050C">
        <w:rPr>
          <w:color w:val="000000" w:themeColor="text1"/>
          <w:lang w:val="en-GB"/>
        </w:rPr>
        <w:t xml:space="preserve"> </w:t>
      </w:r>
      <w:r w:rsidR="002A3362" w:rsidRPr="00D8050C">
        <w:rPr>
          <w:color w:val="000000" w:themeColor="text1"/>
          <w:lang w:val="en-GB"/>
        </w:rPr>
        <w:t>a high DNA damage rate at 5’ and 3’ ends w</w:t>
      </w:r>
      <w:r w:rsidR="007F7B4B" w:rsidRPr="00D8050C">
        <w:rPr>
          <w:color w:val="000000" w:themeColor="text1"/>
          <w:lang w:val="en-GB"/>
        </w:rPr>
        <w:t>as</w:t>
      </w:r>
      <w:r w:rsidR="002A3362" w:rsidRPr="00D8050C">
        <w:rPr>
          <w:color w:val="000000" w:themeColor="text1"/>
          <w:lang w:val="en-GB"/>
        </w:rPr>
        <w:t xml:space="preserve"> observed (</w:t>
      </w:r>
      <w:r w:rsidR="007F7B4B" w:rsidRPr="00D8050C">
        <w:rPr>
          <w:color w:val="000000" w:themeColor="text1"/>
          <w:lang w:val="en-GB"/>
        </w:rPr>
        <w:t xml:space="preserve">SI 13 </w:t>
      </w:r>
      <w:r w:rsidR="002A3362" w:rsidRPr="00D8050C">
        <w:rPr>
          <w:color w:val="000000" w:themeColor="text1"/>
          <w:lang w:val="en-GB"/>
        </w:rPr>
        <w:t>Fig</w:t>
      </w:r>
      <w:r w:rsidR="007F7B4B" w:rsidRPr="00D8050C">
        <w:rPr>
          <w:color w:val="000000" w:themeColor="text1"/>
          <w:lang w:val="en-GB"/>
        </w:rPr>
        <w:t xml:space="preserve">. </w:t>
      </w:r>
      <w:r w:rsidR="002A3362" w:rsidRPr="00D8050C">
        <w:rPr>
          <w:color w:val="000000" w:themeColor="text1"/>
          <w:lang w:val="en-GB"/>
        </w:rPr>
        <w:t>1)</w:t>
      </w:r>
      <w:r w:rsidR="00314812" w:rsidRPr="00D8050C">
        <w:rPr>
          <w:color w:val="000000" w:themeColor="text1"/>
          <w:lang w:val="en-GB"/>
        </w:rPr>
        <w:t xml:space="preserve">. </w:t>
      </w:r>
      <w:r w:rsidR="002A3362" w:rsidRPr="00D8050C">
        <w:rPr>
          <w:color w:val="000000" w:themeColor="text1"/>
          <w:lang w:val="en-GB"/>
        </w:rPr>
        <w:t xml:space="preserve">Such </w:t>
      </w:r>
      <w:r w:rsidR="007F7B4B" w:rsidRPr="00D8050C">
        <w:rPr>
          <w:color w:val="000000" w:themeColor="text1"/>
          <w:lang w:val="en-GB"/>
        </w:rPr>
        <w:t xml:space="preserve">a </w:t>
      </w:r>
      <w:r w:rsidR="002A3362" w:rsidRPr="00D8050C">
        <w:rPr>
          <w:color w:val="000000" w:themeColor="text1"/>
          <w:lang w:val="en-GB"/>
        </w:rPr>
        <w:t xml:space="preserve">pattern is considered as </w:t>
      </w:r>
      <w:r w:rsidR="007F7B4B" w:rsidRPr="00D8050C">
        <w:rPr>
          <w:color w:val="000000" w:themeColor="text1"/>
          <w:lang w:val="en-GB"/>
        </w:rPr>
        <w:t xml:space="preserve">a </w:t>
      </w:r>
      <w:r w:rsidR="002A3362" w:rsidRPr="00D8050C">
        <w:rPr>
          <w:color w:val="000000" w:themeColor="text1"/>
          <w:lang w:val="en-GB"/>
        </w:rPr>
        <w:t xml:space="preserve">signature of large quantities of ancient DNA preserved in the samples. Second, we estimated the mitochondrial DNA contamination for all the ancient individuals </w:t>
      </w:r>
      <w:r w:rsidR="000B0C18" w:rsidRPr="00D8050C">
        <w:rPr>
          <w:color w:val="000000" w:themeColor="text1"/>
          <w:lang w:val="en-GB"/>
        </w:rPr>
        <w:t xml:space="preserve">with sufficient coverage (&gt;10X) </w:t>
      </w:r>
      <w:r w:rsidR="002A3362" w:rsidRPr="00D8050C">
        <w:rPr>
          <w:color w:val="000000" w:themeColor="text1"/>
          <w:lang w:val="en-GB"/>
        </w:rPr>
        <w:t>in this study with the Schmutzi program</w:t>
      </w:r>
      <w:r w:rsidR="007F7B4B" w:rsidRPr="00D8050C">
        <w:rPr>
          <w:color w:val="000000" w:themeColor="text1"/>
          <w:lang w:val="en-GB"/>
        </w:rPr>
        <w:t>me</w:t>
      </w:r>
      <w:r w:rsidR="007F7B4B" w:rsidRPr="00D8050C">
        <w:rPr>
          <w:rStyle w:val="EndnoteReference"/>
          <w:color w:val="000000" w:themeColor="text1"/>
          <w:lang w:val="en-GB"/>
        </w:rPr>
        <w:endnoteReference w:id="1"/>
      </w:r>
      <w:r w:rsidR="002A3362" w:rsidRPr="00D8050C">
        <w:rPr>
          <w:color w:val="000000" w:themeColor="text1"/>
          <w:lang w:val="en-GB"/>
        </w:rPr>
        <w:t xml:space="preserve">. Specifically, we mapped adapter-removed reads to the revised Cambridge Reference Sequence of the human mitochondrial genome (rCRS; NC_012920.1), with an extension of 500 bp at the end to preserve </w:t>
      </w:r>
      <w:r w:rsidR="00A17197" w:rsidRPr="00D8050C">
        <w:rPr>
          <w:color w:val="000000" w:themeColor="text1"/>
          <w:lang w:val="en-GB"/>
        </w:rPr>
        <w:t>DNA sequences</w:t>
      </w:r>
      <w:r w:rsidR="002A3362" w:rsidRPr="00D8050C">
        <w:rPr>
          <w:color w:val="000000" w:themeColor="text1"/>
          <w:lang w:val="en-GB"/>
        </w:rPr>
        <w:t xml:space="preserve"> passing through the origin. We then wrapped the alignment to the circular reference genome using circularmapper v1.1</w:t>
      </w:r>
      <w:r w:rsidR="002E0B90" w:rsidRPr="00D8050C">
        <w:rPr>
          <w:rStyle w:val="EndnoteReference"/>
          <w:color w:val="000000" w:themeColor="text1"/>
          <w:lang w:val="en-GB"/>
        </w:rPr>
        <w:endnoteReference w:id="2"/>
      </w:r>
      <w:r w:rsidR="002A3362" w:rsidRPr="00D8050C">
        <w:rPr>
          <w:color w:val="000000" w:themeColor="text1"/>
          <w:lang w:val="en-GB"/>
        </w:rPr>
        <w:t xml:space="preserve">. The contDeam and schmutzi modules of the Schmutzi program were successively run with the world-wide allele frequency database from 197 individuals, resulting in estimated mitochondrial DNA contamination rates for each individual. </w:t>
      </w:r>
      <w:r w:rsidR="00D4435B" w:rsidRPr="00D8050C">
        <w:rPr>
          <w:color w:val="000000" w:themeColor="text1"/>
          <w:lang w:val="en-GB"/>
        </w:rPr>
        <w:t xml:space="preserve">We restricted our analysis to samples with mitochondrial DNA coverage higher than 10X to ensure the accuracy of the estimation. </w:t>
      </w:r>
      <w:r w:rsidR="002E0B90" w:rsidRPr="00D8050C">
        <w:rPr>
          <w:color w:val="000000" w:themeColor="text1"/>
          <w:lang w:val="en-GB"/>
        </w:rPr>
        <w:t>Eight</w:t>
      </w:r>
      <w:r w:rsidR="00D4435B" w:rsidRPr="00D8050C">
        <w:rPr>
          <w:color w:val="000000" w:themeColor="text1"/>
          <w:lang w:val="en-GB"/>
        </w:rPr>
        <w:t xml:space="preserve"> out of 33 were successfully estimated, and a low mitochondrial DNA contamination w</w:t>
      </w:r>
      <w:r w:rsidR="002E0B90" w:rsidRPr="00D8050C">
        <w:rPr>
          <w:color w:val="000000" w:themeColor="text1"/>
          <w:lang w:val="en-GB"/>
        </w:rPr>
        <w:t>as</w:t>
      </w:r>
      <w:r w:rsidR="00D4435B" w:rsidRPr="00D8050C">
        <w:rPr>
          <w:color w:val="000000" w:themeColor="text1"/>
          <w:lang w:val="en-GB"/>
        </w:rPr>
        <w:t xml:space="preserve"> obtained</w:t>
      </w:r>
      <w:r w:rsidR="00A17197" w:rsidRPr="00D8050C">
        <w:rPr>
          <w:color w:val="000000" w:themeColor="text1"/>
          <w:lang w:val="en-GB"/>
        </w:rPr>
        <w:t xml:space="preserve"> (</w:t>
      </w:r>
      <w:r w:rsidR="00D8050C" w:rsidRPr="00D8050C">
        <w:rPr>
          <w:color w:val="000000" w:themeColor="text1"/>
          <w:lang w:val="en-GB"/>
        </w:rPr>
        <w:t xml:space="preserve">See </w:t>
      </w:r>
      <w:r w:rsidR="00D8050C" w:rsidRPr="00D8050C">
        <w:t xml:space="preserve">qpAdm admixture modeling </w:t>
      </w:r>
      <w:r w:rsidR="00D8050C" w:rsidRPr="00D8050C">
        <w:rPr>
          <w:lang w:val="en-US"/>
        </w:rPr>
        <w:t xml:space="preserve">in </w:t>
      </w:r>
      <w:r w:rsidR="00D8050C" w:rsidRPr="00D8050C">
        <w:rPr>
          <w:color w:val="000000" w:themeColor="text1"/>
          <w:lang w:val="en-GB"/>
        </w:rPr>
        <w:t xml:space="preserve">SI 16 and </w:t>
      </w:r>
      <w:r w:rsidR="00D8050C" w:rsidRPr="00D8050C">
        <w:rPr>
          <w:lang w:val="en-US"/>
        </w:rPr>
        <w:t>s</w:t>
      </w:r>
      <w:r w:rsidR="00D8050C" w:rsidRPr="00D8050C">
        <w:t>equencing details</w:t>
      </w:r>
      <w:r w:rsidR="00D8050C" w:rsidRPr="00D8050C">
        <w:rPr>
          <w:lang w:val="en-US"/>
        </w:rPr>
        <w:t xml:space="preserve"> in</w:t>
      </w:r>
      <w:r w:rsidR="00D8050C" w:rsidRPr="00D8050C">
        <w:rPr>
          <w:color w:val="000000" w:themeColor="text1"/>
          <w:lang w:val="en-GB"/>
        </w:rPr>
        <w:t xml:space="preserve"> SI 17</w:t>
      </w:r>
      <w:r w:rsidR="00A17197" w:rsidRPr="00D8050C">
        <w:rPr>
          <w:color w:val="000000" w:themeColor="text1"/>
          <w:lang w:val="en-GB"/>
        </w:rPr>
        <w:t>)</w:t>
      </w:r>
      <w:r w:rsidR="00D4435B" w:rsidRPr="00D8050C">
        <w:rPr>
          <w:color w:val="000000" w:themeColor="text1"/>
          <w:lang w:val="en-GB"/>
        </w:rPr>
        <w:t xml:space="preserve">. </w:t>
      </w:r>
      <w:r w:rsidR="002A3362" w:rsidRPr="00D8050C">
        <w:rPr>
          <w:color w:val="000000" w:themeColor="text1"/>
          <w:lang w:val="en-GB"/>
        </w:rPr>
        <w:t xml:space="preserve">Last, we estimated the nuclear contamination rate </w:t>
      </w:r>
      <w:r w:rsidR="00D4435B" w:rsidRPr="00D8050C">
        <w:rPr>
          <w:color w:val="000000" w:themeColor="text1"/>
          <w:lang w:val="en-GB"/>
        </w:rPr>
        <w:t>in males based on the heterogeneity on the X chromosome. Since males only have a single copy of the X chromosome, there should be no polymorphisms on X chromosome sequences if contamination is absen</w:t>
      </w:r>
      <w:r w:rsidR="007F7B4B" w:rsidRPr="00D8050C">
        <w:rPr>
          <w:color w:val="000000" w:themeColor="text1"/>
          <w:lang w:val="en-GB"/>
        </w:rPr>
        <w:t>t</w:t>
      </w:r>
      <w:r w:rsidR="00D4435B" w:rsidRPr="00D8050C">
        <w:rPr>
          <w:color w:val="000000" w:themeColor="text1"/>
          <w:lang w:val="en-GB"/>
        </w:rPr>
        <w:t xml:space="preserve">. Because many individuals were low </w:t>
      </w:r>
      <w:r w:rsidR="002E0B90" w:rsidRPr="00D8050C">
        <w:rPr>
          <w:color w:val="000000" w:themeColor="text1"/>
          <w:lang w:val="en-GB"/>
        </w:rPr>
        <w:t xml:space="preserve">in </w:t>
      </w:r>
      <w:r w:rsidR="00D4435B" w:rsidRPr="00D8050C">
        <w:rPr>
          <w:color w:val="000000" w:themeColor="text1"/>
          <w:lang w:val="en-GB"/>
        </w:rPr>
        <w:t xml:space="preserve">coverage, and the contamination </w:t>
      </w:r>
      <w:r w:rsidR="002E0B90" w:rsidRPr="00D8050C">
        <w:rPr>
          <w:color w:val="000000" w:themeColor="text1"/>
          <w:lang w:val="en-GB"/>
        </w:rPr>
        <w:t>was</w:t>
      </w:r>
      <w:r w:rsidR="00D4435B" w:rsidRPr="00D8050C">
        <w:rPr>
          <w:color w:val="000000" w:themeColor="text1"/>
          <w:lang w:val="en-GB"/>
        </w:rPr>
        <w:t xml:space="preserve"> not adequately </w:t>
      </w:r>
      <w:r w:rsidR="00C33F2D" w:rsidRPr="00D8050C">
        <w:rPr>
          <w:color w:val="000000" w:themeColor="text1"/>
          <w:lang w:val="en-GB"/>
        </w:rPr>
        <w:t>estimated by the above-mentioned methods</w:t>
      </w:r>
      <w:r w:rsidR="002E0B90" w:rsidRPr="00D8050C">
        <w:rPr>
          <w:color w:val="000000" w:themeColor="text1"/>
          <w:lang w:val="en-GB"/>
        </w:rPr>
        <w:t xml:space="preserve">, </w:t>
      </w:r>
      <w:r w:rsidR="008B70C2" w:rsidRPr="00D8050C">
        <w:rPr>
          <w:color w:val="000000" w:themeColor="text1"/>
          <w:lang w:val="en-GB"/>
        </w:rPr>
        <w:t>8 individuals with SNPs overlap</w:t>
      </w:r>
      <w:r w:rsidR="002E0B90" w:rsidRPr="00D8050C">
        <w:rPr>
          <w:color w:val="000000" w:themeColor="text1"/>
          <w:lang w:val="en-GB"/>
        </w:rPr>
        <w:t>ping</w:t>
      </w:r>
      <w:r w:rsidR="008B70C2" w:rsidRPr="00D8050C">
        <w:rPr>
          <w:color w:val="000000" w:themeColor="text1"/>
          <w:lang w:val="en-GB"/>
        </w:rPr>
        <w:t xml:space="preserve"> with the ‘1240k’ data set smaller than 10,000 were directly excluded from the down-stream analyses. </w:t>
      </w:r>
      <w:r w:rsidR="00C33F2D" w:rsidRPr="00D8050C">
        <w:rPr>
          <w:color w:val="000000" w:themeColor="text1"/>
          <w:lang w:val="en-GB"/>
        </w:rPr>
        <w:t xml:space="preserve">We further applied </w:t>
      </w:r>
      <w:r w:rsidR="002E0B90" w:rsidRPr="00D8050C">
        <w:rPr>
          <w:color w:val="000000" w:themeColor="text1"/>
          <w:lang w:val="en-GB"/>
        </w:rPr>
        <w:t xml:space="preserve">a </w:t>
      </w:r>
      <w:r w:rsidR="00C33F2D" w:rsidRPr="00D8050C">
        <w:rPr>
          <w:color w:val="000000" w:themeColor="text1"/>
          <w:lang w:val="en-GB"/>
        </w:rPr>
        <w:t xml:space="preserve">PCA constructed from present-day </w:t>
      </w:r>
      <w:r w:rsidR="00A17197" w:rsidRPr="00D8050C">
        <w:rPr>
          <w:color w:val="000000" w:themeColor="text1"/>
          <w:lang w:val="en-GB"/>
        </w:rPr>
        <w:t xml:space="preserve">Eurasian </w:t>
      </w:r>
      <w:r w:rsidR="00C33F2D" w:rsidRPr="00D8050C">
        <w:rPr>
          <w:color w:val="000000" w:themeColor="text1"/>
          <w:lang w:val="en-GB"/>
        </w:rPr>
        <w:t xml:space="preserve">populations </w:t>
      </w:r>
      <w:r w:rsidR="00774441" w:rsidRPr="00D8050C">
        <w:rPr>
          <w:color w:val="000000" w:themeColor="text1"/>
          <w:lang w:val="en-GB"/>
        </w:rPr>
        <w:t>and projected the ancient Korean and Japanese individuals</w:t>
      </w:r>
      <w:r w:rsidR="00A17197" w:rsidRPr="00D8050C">
        <w:rPr>
          <w:color w:val="000000" w:themeColor="text1"/>
          <w:lang w:val="en-GB"/>
        </w:rPr>
        <w:t xml:space="preserve"> as well as the 40,000-year-old Tianyuan individual from China and the Hòabìnhian hunter-gatherer from Laos</w:t>
      </w:r>
      <w:r w:rsidR="00B000CE" w:rsidRPr="00D8050C">
        <w:rPr>
          <w:color w:val="000000" w:themeColor="text1"/>
          <w:lang w:val="en-GB"/>
        </w:rPr>
        <w:t xml:space="preserve"> onto the top two variation</w:t>
      </w:r>
      <w:r w:rsidR="00774441" w:rsidRPr="00D8050C">
        <w:rPr>
          <w:color w:val="000000" w:themeColor="text1"/>
          <w:lang w:val="en-GB"/>
        </w:rPr>
        <w:t>. As is shown in</w:t>
      </w:r>
      <w:r w:rsidR="002E0B90" w:rsidRPr="00D8050C">
        <w:rPr>
          <w:color w:val="000000" w:themeColor="text1"/>
          <w:lang w:val="en-GB"/>
        </w:rPr>
        <w:t xml:space="preserve"> </w:t>
      </w:r>
      <w:r w:rsidR="00E73924" w:rsidRPr="00D8050C">
        <w:rPr>
          <w:color w:val="000000" w:themeColor="text1"/>
          <w:lang w:val="en-GB"/>
        </w:rPr>
        <w:t xml:space="preserve">SI 13 </w:t>
      </w:r>
      <w:r w:rsidR="00774441" w:rsidRPr="00D8050C">
        <w:rPr>
          <w:color w:val="000000" w:themeColor="text1"/>
          <w:lang w:val="en-GB"/>
        </w:rPr>
        <w:t xml:space="preserve">Figure </w:t>
      </w:r>
      <w:r w:rsidR="008B70C2" w:rsidRPr="00D8050C">
        <w:rPr>
          <w:color w:val="000000" w:themeColor="text1"/>
          <w:lang w:val="en-GB"/>
        </w:rPr>
        <w:t>2</w:t>
      </w:r>
      <w:r w:rsidR="00774441" w:rsidRPr="00D8050C">
        <w:rPr>
          <w:color w:val="000000" w:themeColor="text1"/>
          <w:lang w:val="en-GB"/>
        </w:rPr>
        <w:t xml:space="preserve">A, </w:t>
      </w:r>
      <w:r w:rsidR="008B70C2" w:rsidRPr="00D8050C">
        <w:rPr>
          <w:color w:val="000000" w:themeColor="text1"/>
          <w:lang w:val="en-GB"/>
        </w:rPr>
        <w:t>8 individuals were projected outside of the East Asian variation</w:t>
      </w:r>
      <w:r w:rsidR="00B000CE" w:rsidRPr="00D8050C">
        <w:rPr>
          <w:color w:val="000000" w:themeColor="text1"/>
          <w:lang w:val="en-GB"/>
        </w:rPr>
        <w:t>,</w:t>
      </w:r>
      <w:r w:rsidR="008B70C2" w:rsidRPr="00D8050C">
        <w:rPr>
          <w:color w:val="000000" w:themeColor="text1"/>
          <w:lang w:val="en-GB"/>
        </w:rPr>
        <w:t xml:space="preserve"> </w:t>
      </w:r>
      <w:r w:rsidR="00B000CE" w:rsidRPr="00D8050C">
        <w:rPr>
          <w:color w:val="000000" w:themeColor="text1"/>
          <w:lang w:val="en-GB"/>
        </w:rPr>
        <w:t xml:space="preserve">beyond the positioning of Tianyuan and Hòabìnhian and shifted to the west Eurasians, </w:t>
      </w:r>
      <w:r w:rsidR="008B70C2" w:rsidRPr="00D8050C">
        <w:rPr>
          <w:color w:val="000000" w:themeColor="text1"/>
          <w:lang w:val="en-GB"/>
        </w:rPr>
        <w:t xml:space="preserve">indicating some degree of modern human DNA contamination. We further plotted another PCA with the damaged-restricted reads only for all </w:t>
      </w:r>
      <w:r w:rsidR="008B70C2" w:rsidRPr="00D8050C">
        <w:rPr>
          <w:color w:val="000000" w:themeColor="text1"/>
          <w:lang w:val="en-GB"/>
        </w:rPr>
        <w:lastRenderedPageBreak/>
        <w:t xml:space="preserve">the ancient individuals, </w:t>
      </w:r>
      <w:r w:rsidR="002E0B90" w:rsidRPr="00D8050C">
        <w:rPr>
          <w:color w:val="000000" w:themeColor="text1"/>
          <w:lang w:val="en-GB"/>
        </w:rPr>
        <w:t xml:space="preserve">in the assumption that </w:t>
      </w:r>
      <w:r w:rsidR="004A00BE" w:rsidRPr="00D8050C">
        <w:rPr>
          <w:color w:val="000000" w:themeColor="text1"/>
          <w:lang w:val="en-GB"/>
        </w:rPr>
        <w:t>modern human DNA do</w:t>
      </w:r>
      <w:r w:rsidR="002E0B90" w:rsidRPr="00D8050C">
        <w:rPr>
          <w:color w:val="000000" w:themeColor="text1"/>
          <w:lang w:val="en-GB"/>
        </w:rPr>
        <w:t>es not</w:t>
      </w:r>
      <w:r w:rsidR="004A00BE" w:rsidRPr="00D8050C">
        <w:rPr>
          <w:color w:val="000000" w:themeColor="text1"/>
          <w:lang w:val="en-GB"/>
        </w:rPr>
        <w:t xml:space="preserve"> have such character</w:t>
      </w:r>
      <w:r w:rsidR="002E0B90" w:rsidRPr="00D8050C">
        <w:rPr>
          <w:color w:val="000000" w:themeColor="text1"/>
          <w:lang w:val="en-GB"/>
        </w:rPr>
        <w:t>s</w:t>
      </w:r>
      <w:r w:rsidR="004A00BE" w:rsidRPr="00D8050C">
        <w:rPr>
          <w:color w:val="000000" w:themeColor="text1"/>
          <w:lang w:val="en-GB"/>
        </w:rPr>
        <w:t xml:space="preserve">. As observed in </w:t>
      </w:r>
      <w:r w:rsidR="00E73924" w:rsidRPr="00D8050C">
        <w:rPr>
          <w:color w:val="000000" w:themeColor="text1"/>
          <w:lang w:val="en-GB"/>
        </w:rPr>
        <w:t xml:space="preserve">SI 13 </w:t>
      </w:r>
      <w:r w:rsidR="004A00BE" w:rsidRPr="00D8050C">
        <w:rPr>
          <w:color w:val="000000" w:themeColor="text1"/>
          <w:lang w:val="en-GB"/>
        </w:rPr>
        <w:t>Figure 2B, almost all individuals fall onto the East Asian variation between the ancient Tianyuan/</w:t>
      </w:r>
      <w:r w:rsidR="00B000CE" w:rsidRPr="00D8050C">
        <w:rPr>
          <w:color w:val="000000" w:themeColor="text1"/>
          <w:lang w:val="en-GB"/>
        </w:rPr>
        <w:t>Hòabìnhian</w:t>
      </w:r>
      <w:r w:rsidR="004A00BE" w:rsidRPr="00D8050C">
        <w:rPr>
          <w:color w:val="000000" w:themeColor="text1"/>
          <w:lang w:val="en-GB"/>
        </w:rPr>
        <w:t xml:space="preserve"> hunter-gatherers and other present-day East Asians with the exclusion of TYD004, which w</w:t>
      </w:r>
      <w:r w:rsidR="002E0B90" w:rsidRPr="00D8050C">
        <w:rPr>
          <w:color w:val="000000" w:themeColor="text1"/>
          <w:lang w:val="en-GB"/>
        </w:rPr>
        <w:t>as</w:t>
      </w:r>
      <w:r w:rsidR="004A00BE" w:rsidRPr="00D8050C">
        <w:rPr>
          <w:color w:val="000000" w:themeColor="text1"/>
          <w:lang w:val="en-GB"/>
        </w:rPr>
        <w:t xml:space="preserve"> directly excluded from down-stream analyses. </w:t>
      </w:r>
      <w:r w:rsidR="005A2E07" w:rsidRPr="00D8050C">
        <w:rPr>
          <w:color w:val="000000" w:themeColor="text1"/>
          <w:lang w:val="en-GB"/>
        </w:rPr>
        <w:t xml:space="preserve">As analyses on damage-restricted reads also rule out the endogenous DNA in large numbers, we only applied this method to the Eurasia outlier samples </w:t>
      </w:r>
      <w:r w:rsidR="008E1921" w:rsidRPr="00D8050C">
        <w:rPr>
          <w:color w:val="000000" w:themeColor="text1"/>
          <w:lang w:val="en-GB"/>
        </w:rPr>
        <w:t>to leverage the resolution of the data and the contamination.</w:t>
      </w:r>
      <w:r w:rsidR="005A2E07" w:rsidRPr="00D8050C">
        <w:rPr>
          <w:color w:val="000000" w:themeColor="text1"/>
          <w:lang w:val="en-GB"/>
        </w:rPr>
        <w:t xml:space="preserve"> </w:t>
      </w:r>
      <w:r w:rsidR="002E0B90" w:rsidRPr="00D8050C">
        <w:rPr>
          <w:color w:val="000000" w:themeColor="text1"/>
          <w:lang w:val="en-GB"/>
        </w:rPr>
        <w:t xml:space="preserve">Five </w:t>
      </w:r>
      <w:r w:rsidR="008E1921" w:rsidRPr="00D8050C">
        <w:rPr>
          <w:color w:val="000000" w:themeColor="text1"/>
          <w:lang w:val="en-GB"/>
        </w:rPr>
        <w:t xml:space="preserve">individuals were further excluded due to the poor quality after reads filtering. After these criteria, a final </w:t>
      </w:r>
      <w:r w:rsidR="002E0B90" w:rsidRPr="00D8050C">
        <w:rPr>
          <w:color w:val="000000" w:themeColor="text1"/>
          <w:lang w:val="en-GB"/>
        </w:rPr>
        <w:t xml:space="preserve">total </w:t>
      </w:r>
      <w:r w:rsidR="008E1921" w:rsidRPr="00D8050C">
        <w:rPr>
          <w:color w:val="000000" w:themeColor="text1"/>
          <w:lang w:val="en-GB"/>
        </w:rPr>
        <w:t>of 20 individuals were left for down-stream analyses.</w:t>
      </w:r>
    </w:p>
    <w:p w14:paraId="437B82AA" w14:textId="6193E2A6" w:rsidR="00B6120B" w:rsidRPr="00D8050C" w:rsidRDefault="00B6120B" w:rsidP="00D8050C">
      <w:pPr>
        <w:spacing w:line="360" w:lineRule="auto"/>
        <w:rPr>
          <w:b/>
          <w:bCs/>
          <w:lang w:val="en-GB"/>
        </w:rPr>
      </w:pPr>
    </w:p>
    <w:p w14:paraId="483DA8B0" w14:textId="46CFB680" w:rsidR="00B6120B" w:rsidRPr="00D8050C" w:rsidRDefault="007F2531" w:rsidP="00D8050C">
      <w:pPr>
        <w:spacing w:line="360" w:lineRule="auto"/>
        <w:rPr>
          <w:b/>
          <w:bCs/>
          <w:lang w:val="en-GB"/>
        </w:rPr>
      </w:pPr>
      <w:r w:rsidRPr="00D8050C">
        <w:rPr>
          <w:b/>
          <w:bCs/>
          <w:lang w:val="en-GB"/>
        </w:rPr>
        <w:t xml:space="preserve">§2. </w:t>
      </w:r>
      <w:r w:rsidR="008E1921" w:rsidRPr="00D8050C">
        <w:rPr>
          <w:b/>
          <w:bCs/>
          <w:lang w:val="en-GB"/>
        </w:rPr>
        <w:t xml:space="preserve">Archaeological </w:t>
      </w:r>
      <w:r w:rsidR="002E0B90" w:rsidRPr="00D8050C">
        <w:rPr>
          <w:b/>
          <w:bCs/>
          <w:lang w:val="en-GB"/>
        </w:rPr>
        <w:t>I</w:t>
      </w:r>
      <w:r w:rsidR="008E1921" w:rsidRPr="00D8050C">
        <w:rPr>
          <w:b/>
          <w:bCs/>
          <w:lang w:val="en-GB"/>
        </w:rPr>
        <w:t xml:space="preserve">nterpretation of the </w:t>
      </w:r>
      <w:r w:rsidR="002E0B90" w:rsidRPr="00D8050C">
        <w:rPr>
          <w:b/>
          <w:bCs/>
          <w:lang w:val="en-GB"/>
        </w:rPr>
        <w:t>A</w:t>
      </w:r>
      <w:r w:rsidR="008E1921" w:rsidRPr="00D8050C">
        <w:rPr>
          <w:b/>
          <w:bCs/>
          <w:lang w:val="en-GB"/>
        </w:rPr>
        <w:t xml:space="preserve">ncient DNA </w:t>
      </w:r>
      <w:r w:rsidR="002E0B90" w:rsidRPr="00D8050C">
        <w:rPr>
          <w:b/>
          <w:bCs/>
          <w:lang w:val="en-GB"/>
        </w:rPr>
        <w:t>Results</w:t>
      </w:r>
    </w:p>
    <w:p w14:paraId="744D7002" w14:textId="77777777" w:rsidR="007F2531" w:rsidRPr="00D8050C" w:rsidRDefault="007F2531" w:rsidP="00D8050C">
      <w:pPr>
        <w:spacing w:line="360" w:lineRule="auto"/>
        <w:rPr>
          <w:b/>
          <w:bCs/>
          <w:lang w:val="en-GB"/>
        </w:rPr>
      </w:pPr>
    </w:p>
    <w:p w14:paraId="737D3BEF" w14:textId="186F0117" w:rsidR="00394DBF" w:rsidRPr="00D8050C" w:rsidRDefault="007F2531" w:rsidP="00D8050C">
      <w:pPr>
        <w:spacing w:line="360" w:lineRule="auto"/>
        <w:rPr>
          <w:b/>
          <w:bCs/>
          <w:lang w:val="en-GB"/>
        </w:rPr>
      </w:pPr>
      <w:r w:rsidRPr="00D8050C">
        <w:rPr>
          <w:b/>
          <w:bCs/>
          <w:lang w:val="en-GB"/>
        </w:rPr>
        <w:t xml:space="preserve">§2.1 </w:t>
      </w:r>
      <w:r w:rsidR="00394DBF" w:rsidRPr="00D8050C">
        <w:rPr>
          <w:b/>
          <w:bCs/>
          <w:lang w:val="en-GB"/>
        </w:rPr>
        <w:t>Korea</w:t>
      </w:r>
    </w:p>
    <w:p w14:paraId="43FC6C63" w14:textId="2B890BC1" w:rsidR="003E5992" w:rsidRPr="00D8050C" w:rsidRDefault="00A437C6" w:rsidP="00D8050C">
      <w:pPr>
        <w:spacing w:line="360" w:lineRule="auto"/>
        <w:rPr>
          <w:color w:val="000000" w:themeColor="text1"/>
          <w:lang w:val="en-GB"/>
        </w:rPr>
      </w:pPr>
      <w:r w:rsidRPr="00D8050C">
        <w:rPr>
          <w:color w:val="000000" w:themeColor="text1"/>
          <w:lang w:val="en-GB"/>
        </w:rPr>
        <w:t xml:space="preserve">By analysing the first </w:t>
      </w:r>
      <w:r w:rsidR="00F16868" w:rsidRPr="00D8050C">
        <w:rPr>
          <w:color w:val="000000" w:themeColor="text1"/>
          <w:lang w:val="en-GB"/>
        </w:rPr>
        <w:t xml:space="preserve">collection of </w:t>
      </w:r>
      <w:r w:rsidRPr="00D8050C">
        <w:rPr>
          <w:color w:val="000000" w:themeColor="text1"/>
          <w:lang w:val="en-GB"/>
        </w:rPr>
        <w:t xml:space="preserve">ancient genomes from the Korean Peninsula, we provide direct evidence that Jōmon ancestry had been prevalent on the Peninsula </w:t>
      </w:r>
      <w:r w:rsidR="00F16868" w:rsidRPr="00D8050C">
        <w:rPr>
          <w:color w:val="000000" w:themeColor="text1"/>
          <w:lang w:val="en-GB"/>
        </w:rPr>
        <w:t>by at least</w:t>
      </w:r>
      <w:r w:rsidRPr="00D8050C">
        <w:rPr>
          <w:color w:val="000000" w:themeColor="text1"/>
          <w:lang w:val="en-GB"/>
        </w:rPr>
        <w:t xml:space="preserve"> 6000 years ago (</w:t>
      </w:r>
      <w:r w:rsidR="002E0B90" w:rsidRPr="00D8050C">
        <w:rPr>
          <w:color w:val="000000" w:themeColor="text1"/>
          <w:lang w:val="en-GB"/>
        </w:rPr>
        <w:t xml:space="preserve">SI 13 </w:t>
      </w:r>
      <w:r w:rsidRPr="00D8050C">
        <w:rPr>
          <w:color w:val="000000" w:themeColor="text1"/>
          <w:lang w:val="en-GB"/>
        </w:rPr>
        <w:t xml:space="preserve">Fig. </w:t>
      </w:r>
      <w:r w:rsidR="00B6120B" w:rsidRPr="00D8050C">
        <w:rPr>
          <w:color w:val="000000" w:themeColor="text1"/>
          <w:lang w:val="en-GB"/>
        </w:rPr>
        <w:t>3</w:t>
      </w:r>
      <w:r w:rsidRPr="00D8050C">
        <w:rPr>
          <w:color w:val="000000" w:themeColor="text1"/>
          <w:lang w:val="en-GB"/>
        </w:rPr>
        <w:t xml:space="preserve">B). </w:t>
      </w:r>
      <w:r w:rsidR="00956FE7" w:rsidRPr="00D8050C">
        <w:rPr>
          <w:color w:val="000000" w:themeColor="text1"/>
          <w:lang w:val="en-GB"/>
        </w:rPr>
        <w:t xml:space="preserve">All ancient Korean individuals as lie on a cline </w:t>
      </w:r>
      <w:r w:rsidR="00936A91" w:rsidRPr="00D8050C">
        <w:rPr>
          <w:color w:val="000000" w:themeColor="text1"/>
          <w:lang w:val="en-GB"/>
        </w:rPr>
        <w:t>formed by the</w:t>
      </w:r>
      <w:r w:rsidR="00956FE7" w:rsidRPr="00D8050C">
        <w:rPr>
          <w:color w:val="000000" w:themeColor="text1"/>
          <w:lang w:val="en-GB"/>
        </w:rPr>
        <w:t xml:space="preserve"> Jōmon individuals </w:t>
      </w:r>
      <w:r w:rsidR="00936A91" w:rsidRPr="00D8050C">
        <w:rPr>
          <w:color w:val="000000" w:themeColor="text1"/>
          <w:lang w:val="en-GB"/>
        </w:rPr>
        <w:t xml:space="preserve">from Japanese islands </w:t>
      </w:r>
      <w:r w:rsidR="00956FE7" w:rsidRPr="00D8050C">
        <w:rPr>
          <w:color w:val="000000" w:themeColor="text1"/>
          <w:lang w:val="en-GB"/>
        </w:rPr>
        <w:t xml:space="preserve">and ancient individuals from China (Extended Fig. 8). </w:t>
      </w:r>
      <w:r w:rsidR="00936A91" w:rsidRPr="00D8050C">
        <w:rPr>
          <w:color w:val="000000" w:themeColor="text1"/>
          <w:lang w:val="en-GB"/>
        </w:rPr>
        <w:t>Such observation is echoing the admixture models that all</w:t>
      </w:r>
      <w:r w:rsidRPr="00D8050C">
        <w:rPr>
          <w:color w:val="000000" w:themeColor="text1"/>
          <w:lang w:val="en-GB"/>
        </w:rPr>
        <w:t xml:space="preserve"> ancient Korean individuals can be explained by 2-way admixture</w:t>
      </w:r>
      <w:r w:rsidR="00B000CE" w:rsidRPr="00D8050C">
        <w:rPr>
          <w:color w:val="000000" w:themeColor="text1"/>
          <w:lang w:val="en-GB"/>
        </w:rPr>
        <w:t xml:space="preserve"> </w:t>
      </w:r>
      <w:r w:rsidR="002E0B90" w:rsidRPr="00D8050C">
        <w:rPr>
          <w:color w:val="000000" w:themeColor="text1"/>
          <w:lang w:val="en-GB"/>
        </w:rPr>
        <w:t>—</w:t>
      </w:r>
      <w:r w:rsidR="00B000CE" w:rsidRPr="00D8050C">
        <w:rPr>
          <w:color w:val="000000" w:themeColor="text1"/>
          <w:lang w:val="en-GB"/>
        </w:rPr>
        <w:t xml:space="preserve"> </w:t>
      </w:r>
      <w:r w:rsidRPr="00D8050C">
        <w:rPr>
          <w:color w:val="000000" w:themeColor="text1"/>
          <w:lang w:val="en-GB"/>
        </w:rPr>
        <w:t>one related to Jōmon and the other mostly relat</w:t>
      </w:r>
      <w:r w:rsidR="002E0B90" w:rsidRPr="00D8050C">
        <w:rPr>
          <w:color w:val="000000" w:themeColor="text1"/>
          <w:lang w:val="en-GB"/>
        </w:rPr>
        <w:t>ed</w:t>
      </w:r>
      <w:r w:rsidRPr="00D8050C">
        <w:rPr>
          <w:color w:val="000000" w:themeColor="text1"/>
          <w:lang w:val="en-GB"/>
        </w:rPr>
        <w:t xml:space="preserve"> to </w:t>
      </w:r>
      <w:r w:rsidR="00B000CE" w:rsidRPr="00D8050C">
        <w:rPr>
          <w:color w:val="000000" w:themeColor="text1"/>
          <w:lang w:val="en-GB"/>
        </w:rPr>
        <w:t>mainland East Asian</w:t>
      </w:r>
      <w:r w:rsidRPr="00D8050C">
        <w:rPr>
          <w:color w:val="000000" w:themeColor="text1"/>
          <w:lang w:val="en-GB"/>
        </w:rPr>
        <w:t xml:space="preserve"> millet farmers (Fig. </w:t>
      </w:r>
      <w:r w:rsidR="00B6120B" w:rsidRPr="00D8050C">
        <w:rPr>
          <w:color w:val="000000" w:themeColor="text1"/>
          <w:lang w:val="en-GB"/>
        </w:rPr>
        <w:t>3</w:t>
      </w:r>
      <w:r w:rsidRPr="00D8050C">
        <w:rPr>
          <w:color w:val="000000" w:themeColor="text1"/>
          <w:lang w:val="en-GB"/>
        </w:rPr>
        <w:t>B</w:t>
      </w:r>
      <w:r w:rsidR="00E73924" w:rsidRPr="00D8050C">
        <w:rPr>
          <w:color w:val="000000" w:themeColor="text1"/>
          <w:lang w:val="en-GB"/>
        </w:rPr>
        <w:t>;</w:t>
      </w:r>
      <w:r w:rsidR="00AA095C" w:rsidRPr="00D8050C">
        <w:rPr>
          <w:color w:val="000000" w:themeColor="text1"/>
          <w:lang w:val="en-GB"/>
        </w:rPr>
        <w:t xml:space="preserve"> </w:t>
      </w:r>
      <w:r w:rsidR="00D8050C">
        <w:rPr>
          <w:color w:val="000000" w:themeColor="text1"/>
          <w:lang w:val="en-GB"/>
        </w:rPr>
        <w:t>SI 16</w:t>
      </w:r>
      <w:r w:rsidRPr="00D8050C">
        <w:rPr>
          <w:color w:val="000000" w:themeColor="text1"/>
          <w:lang w:val="en-GB"/>
        </w:rPr>
        <w:t xml:space="preserve">). One individual from the </w:t>
      </w:r>
      <w:r w:rsidR="00E73924" w:rsidRPr="00D8050C">
        <w:rPr>
          <w:color w:val="000000" w:themeColor="text1"/>
          <w:lang w:val="en-GB"/>
        </w:rPr>
        <w:t xml:space="preserve">Late Neolithic </w:t>
      </w:r>
      <w:r w:rsidRPr="00D8050C">
        <w:rPr>
          <w:color w:val="000000" w:themeColor="text1"/>
          <w:lang w:val="en-GB"/>
        </w:rPr>
        <w:t xml:space="preserve">Yokchido site on the southern coast of Korea </w:t>
      </w:r>
      <w:r w:rsidR="00936A91" w:rsidRPr="00D8050C">
        <w:rPr>
          <w:color w:val="000000" w:themeColor="text1"/>
          <w:lang w:val="en-GB"/>
        </w:rPr>
        <w:t xml:space="preserve">shows a high affinity to individuals with Jōmon ancestry (SI 13 Fig. </w:t>
      </w:r>
      <w:r w:rsidR="00BB6F09" w:rsidRPr="00D8050C">
        <w:rPr>
          <w:color w:val="000000" w:themeColor="text1"/>
          <w:lang w:val="en-GB"/>
        </w:rPr>
        <w:t>3</w:t>
      </w:r>
      <w:r w:rsidR="00936A91" w:rsidRPr="00D8050C">
        <w:rPr>
          <w:color w:val="000000" w:themeColor="text1"/>
          <w:lang w:val="en-GB"/>
        </w:rPr>
        <w:t xml:space="preserve">) and was modelled as </w:t>
      </w:r>
      <w:r w:rsidRPr="00D8050C">
        <w:rPr>
          <w:color w:val="000000" w:themeColor="text1"/>
          <w:lang w:val="en-GB"/>
        </w:rPr>
        <w:t>harbour</w:t>
      </w:r>
      <w:r w:rsidR="00936A91" w:rsidRPr="00D8050C">
        <w:rPr>
          <w:color w:val="000000" w:themeColor="text1"/>
          <w:lang w:val="en-GB"/>
        </w:rPr>
        <w:t>ing</w:t>
      </w:r>
      <w:r w:rsidRPr="00D8050C">
        <w:rPr>
          <w:color w:val="000000" w:themeColor="text1"/>
          <w:lang w:val="en-GB"/>
        </w:rPr>
        <w:t xml:space="preserve"> </w:t>
      </w:r>
      <w:r w:rsidR="002E0B90" w:rsidRPr="00D8050C">
        <w:rPr>
          <w:color w:val="000000" w:themeColor="text1"/>
          <w:lang w:val="en-GB"/>
        </w:rPr>
        <w:t>as much as</w:t>
      </w:r>
      <w:r w:rsidRPr="00D8050C">
        <w:rPr>
          <w:color w:val="000000" w:themeColor="text1"/>
          <w:lang w:val="en-GB"/>
        </w:rPr>
        <w:t xml:space="preserve"> 9</w:t>
      </w:r>
      <w:r w:rsidR="00B6120B" w:rsidRPr="00D8050C">
        <w:rPr>
          <w:color w:val="000000" w:themeColor="text1"/>
          <w:lang w:val="en-GB"/>
        </w:rPr>
        <w:t>5</w:t>
      </w:r>
      <w:r w:rsidRPr="00D8050C">
        <w:rPr>
          <w:color w:val="000000" w:themeColor="text1"/>
          <w:lang w:val="en-GB"/>
        </w:rPr>
        <w:t>% Jōmon ancestry</w:t>
      </w:r>
      <w:r w:rsidR="008E1921" w:rsidRPr="00D8050C">
        <w:rPr>
          <w:color w:val="000000" w:themeColor="text1"/>
          <w:lang w:val="en-GB"/>
        </w:rPr>
        <w:t>, suggesting population migration from Japan to Korea.</w:t>
      </w:r>
    </w:p>
    <w:p w14:paraId="1D940B80" w14:textId="3F688AB0" w:rsidR="00394DBF" w:rsidRPr="00D8050C" w:rsidRDefault="00394DBF" w:rsidP="00D8050C">
      <w:pPr>
        <w:spacing w:line="360" w:lineRule="auto"/>
        <w:ind w:firstLine="357"/>
        <w:rPr>
          <w:color w:val="0070C0"/>
          <w:lang w:val="en-GB"/>
        </w:rPr>
      </w:pPr>
      <w:r w:rsidRPr="00D8050C">
        <w:rPr>
          <w:color w:val="000000" w:themeColor="text1"/>
          <w:lang w:val="en-GB"/>
        </w:rPr>
        <w:t>The Japanese islands were never isolated from the Eurasian continent and</w:t>
      </w:r>
      <w:r w:rsidR="002E0B90" w:rsidRPr="00D8050C">
        <w:rPr>
          <w:color w:val="000000" w:themeColor="text1"/>
          <w:lang w:val="en-GB"/>
        </w:rPr>
        <w:t>,</w:t>
      </w:r>
      <w:r w:rsidRPr="00D8050C">
        <w:rPr>
          <w:color w:val="000000" w:themeColor="text1"/>
          <w:lang w:val="en-GB"/>
        </w:rPr>
        <w:t xml:space="preserve"> in particular</w:t>
      </w:r>
      <w:r w:rsidR="002E0B90" w:rsidRPr="00D8050C">
        <w:rPr>
          <w:color w:val="000000" w:themeColor="text1"/>
          <w:lang w:val="en-GB"/>
        </w:rPr>
        <w:t>,</w:t>
      </w:r>
      <w:r w:rsidRPr="00D8050C">
        <w:rPr>
          <w:color w:val="000000" w:themeColor="text1"/>
          <w:lang w:val="en-GB"/>
        </w:rPr>
        <w:t xml:space="preserve"> there is considerable </w:t>
      </w:r>
      <w:r w:rsidR="00690D5C" w:rsidRPr="00D8050C">
        <w:rPr>
          <w:color w:val="000000" w:themeColor="text1"/>
          <w:lang w:val="en-GB"/>
        </w:rPr>
        <w:t xml:space="preserve">archaeological </w:t>
      </w:r>
      <w:r w:rsidRPr="00D8050C">
        <w:rPr>
          <w:color w:val="000000" w:themeColor="text1"/>
          <w:lang w:val="en-GB"/>
        </w:rPr>
        <w:t xml:space="preserve">evidence for contact and exchange between Kyushu and southern Korea in </w:t>
      </w:r>
      <w:r w:rsidR="003E5992" w:rsidRPr="00D8050C">
        <w:rPr>
          <w:color w:val="000000" w:themeColor="text1"/>
          <w:lang w:val="en-GB"/>
        </w:rPr>
        <w:t xml:space="preserve">both </w:t>
      </w:r>
      <w:r w:rsidRPr="00D8050C">
        <w:rPr>
          <w:color w:val="000000" w:themeColor="text1"/>
          <w:lang w:val="en-GB"/>
        </w:rPr>
        <w:t>the Palaeolithic and Neolithic</w:t>
      </w:r>
      <w:r w:rsidRPr="00D8050C">
        <w:rPr>
          <w:rStyle w:val="EndnoteReference"/>
          <w:color w:val="000000" w:themeColor="text1"/>
          <w:lang w:val="en-GB"/>
        </w:rPr>
        <w:endnoteReference w:id="3"/>
      </w:r>
      <w:r w:rsidRPr="00D8050C">
        <w:rPr>
          <w:color w:val="000000" w:themeColor="text1"/>
          <w:lang w:val="en-GB"/>
        </w:rPr>
        <w:t xml:space="preserve">. In the Neolithic, </w:t>
      </w:r>
      <w:r w:rsidR="00690D5C" w:rsidRPr="00D8050C">
        <w:rPr>
          <w:color w:val="000000" w:themeColor="text1"/>
          <w:lang w:val="en-GB"/>
        </w:rPr>
        <w:t>these relations are often interpreted as localised and limited exchange between deep</w:t>
      </w:r>
      <w:r w:rsidR="002E0B90" w:rsidRPr="00D8050C">
        <w:rPr>
          <w:color w:val="000000" w:themeColor="text1"/>
          <w:lang w:val="en-GB"/>
        </w:rPr>
        <w:t>-</w:t>
      </w:r>
      <w:r w:rsidR="00690D5C" w:rsidRPr="00D8050C">
        <w:rPr>
          <w:color w:val="000000" w:themeColor="text1"/>
          <w:lang w:val="en-GB"/>
        </w:rPr>
        <w:t>sea fishing groups</w:t>
      </w:r>
      <w:r w:rsidR="00690D5C" w:rsidRPr="00D8050C">
        <w:rPr>
          <w:rStyle w:val="EndnoteReference"/>
          <w:color w:val="000000" w:themeColor="text1"/>
          <w:lang w:val="en-GB"/>
        </w:rPr>
        <w:endnoteReference w:id="4"/>
      </w:r>
      <w:r w:rsidR="00690D5C" w:rsidRPr="00D8050C">
        <w:rPr>
          <w:color w:val="000000" w:themeColor="text1"/>
          <w:lang w:val="en-GB"/>
        </w:rPr>
        <w:t xml:space="preserve">. Our present results, however, suggest a quite different model of extensive admixture between Jōmon and </w:t>
      </w:r>
      <w:r w:rsidR="00D74B4C" w:rsidRPr="00D8050C">
        <w:rPr>
          <w:color w:val="000000" w:themeColor="text1"/>
          <w:lang w:val="en-GB"/>
        </w:rPr>
        <w:t xml:space="preserve">Korean </w:t>
      </w:r>
      <w:r w:rsidR="00690D5C" w:rsidRPr="00D8050C">
        <w:rPr>
          <w:color w:val="000000" w:themeColor="text1"/>
          <w:lang w:val="en-GB"/>
        </w:rPr>
        <w:t xml:space="preserve">Chulmun populations. Many archaeologists have previously </w:t>
      </w:r>
      <w:r w:rsidRPr="00D8050C">
        <w:rPr>
          <w:color w:val="000000" w:themeColor="text1"/>
          <w:lang w:val="en-GB"/>
        </w:rPr>
        <w:t xml:space="preserve">concluded that, despite interaction between </w:t>
      </w:r>
      <w:r w:rsidR="00690D5C" w:rsidRPr="00D8050C">
        <w:rPr>
          <w:color w:val="000000" w:themeColor="text1"/>
          <w:lang w:val="en-GB"/>
        </w:rPr>
        <w:t>Kyushu and Korea,</w:t>
      </w:r>
      <w:r w:rsidRPr="00D8050C">
        <w:rPr>
          <w:color w:val="000000" w:themeColor="text1"/>
          <w:lang w:val="en-GB"/>
        </w:rPr>
        <w:t xml:space="preserve"> </w:t>
      </w:r>
      <w:r w:rsidR="00871BD2" w:rsidRPr="00D8050C">
        <w:rPr>
          <w:lang w:val="en-GB"/>
        </w:rPr>
        <w:t xml:space="preserve">a basic cultural or ethnic boundary was maintained. Several scholars have proposed that this boundary was also linguistic; because of linguistic differences, ‘the meaning of Jōmon pottery was not </w:t>
      </w:r>
      <w:r w:rsidR="00871BD2" w:rsidRPr="00D8050C">
        <w:rPr>
          <w:color w:val="000000" w:themeColor="text1"/>
          <w:lang w:val="en-GB"/>
        </w:rPr>
        <w:t>understood’ on the peninsula</w:t>
      </w:r>
      <w:r w:rsidR="00871BD2" w:rsidRPr="00D8050C">
        <w:rPr>
          <w:rStyle w:val="EndnoteReference"/>
          <w:color w:val="000000" w:themeColor="text1"/>
          <w:lang w:val="en-GB"/>
        </w:rPr>
        <w:endnoteReference w:id="5"/>
      </w:r>
      <w:r w:rsidR="00871BD2" w:rsidRPr="00D8050C">
        <w:rPr>
          <w:color w:val="000000" w:themeColor="text1"/>
          <w:lang w:val="en-GB"/>
        </w:rPr>
        <w:t>.</w:t>
      </w:r>
      <w:r w:rsidR="00706304" w:rsidRPr="00D8050C">
        <w:rPr>
          <w:color w:val="000000" w:themeColor="text1"/>
          <w:lang w:val="en-GB"/>
        </w:rPr>
        <w:t xml:space="preserve"> </w:t>
      </w:r>
      <w:r w:rsidR="002A224D" w:rsidRPr="00D8050C">
        <w:rPr>
          <w:color w:val="000000" w:themeColor="text1"/>
          <w:lang w:val="en-GB"/>
        </w:rPr>
        <w:t>O</w:t>
      </w:r>
      <w:r w:rsidR="00706304" w:rsidRPr="00D8050C">
        <w:rPr>
          <w:color w:val="000000" w:themeColor="text1"/>
          <w:lang w:val="en-GB"/>
        </w:rPr>
        <w:t xml:space="preserve">ur results suggest </w:t>
      </w:r>
      <w:r w:rsidR="003E5992" w:rsidRPr="00D8050C">
        <w:rPr>
          <w:color w:val="000000" w:themeColor="text1"/>
          <w:lang w:val="en-GB"/>
        </w:rPr>
        <w:t>such</w:t>
      </w:r>
      <w:r w:rsidR="00706304" w:rsidRPr="00D8050C">
        <w:rPr>
          <w:color w:val="000000" w:themeColor="text1"/>
          <w:lang w:val="en-GB"/>
        </w:rPr>
        <w:t xml:space="preserve"> conclusions are overly simplistic. Jōmon </w:t>
      </w:r>
      <w:r w:rsidR="00706304" w:rsidRPr="00D8050C">
        <w:rPr>
          <w:lang w:val="en-GB"/>
        </w:rPr>
        <w:t xml:space="preserve">individuals who voyaged to Korea did not necessarily make Jōmon pottery if they stayed on the peninsula for any </w:t>
      </w:r>
      <w:r w:rsidR="00706304" w:rsidRPr="00D8050C">
        <w:rPr>
          <w:lang w:val="en-GB"/>
        </w:rPr>
        <w:lastRenderedPageBreak/>
        <w:t>length of time; those individuals could have simply adopted the local ceramics in use in Korean Neolithic societies.</w:t>
      </w:r>
    </w:p>
    <w:p w14:paraId="25BFA86E" w14:textId="77777777" w:rsidR="00FB3219" w:rsidRPr="00D8050C" w:rsidRDefault="00FB3219" w:rsidP="00D8050C">
      <w:pPr>
        <w:spacing w:line="360" w:lineRule="auto"/>
        <w:rPr>
          <w:b/>
          <w:bCs/>
          <w:lang w:val="en-GB"/>
        </w:rPr>
      </w:pPr>
    </w:p>
    <w:p w14:paraId="24B76D78" w14:textId="54008E1D" w:rsidR="003E5992" w:rsidRPr="00D8050C" w:rsidRDefault="002E0B90" w:rsidP="00D8050C">
      <w:pPr>
        <w:spacing w:line="360" w:lineRule="auto"/>
        <w:rPr>
          <w:b/>
          <w:bCs/>
          <w:lang w:val="en-GB"/>
        </w:rPr>
      </w:pPr>
      <w:r w:rsidRPr="00D8050C">
        <w:rPr>
          <w:b/>
          <w:bCs/>
          <w:lang w:val="en-GB"/>
        </w:rPr>
        <w:t xml:space="preserve">§2.2. </w:t>
      </w:r>
      <w:r w:rsidR="003E5992" w:rsidRPr="00D8050C">
        <w:rPr>
          <w:b/>
          <w:bCs/>
          <w:lang w:val="en-GB"/>
        </w:rPr>
        <w:t>Population history of the Japanese Islands</w:t>
      </w:r>
    </w:p>
    <w:p w14:paraId="3A59EDED" w14:textId="03E8E887" w:rsidR="00792753" w:rsidRPr="00D8050C" w:rsidRDefault="003E5992" w:rsidP="00D8050C">
      <w:pPr>
        <w:spacing w:line="360" w:lineRule="auto"/>
        <w:rPr>
          <w:color w:val="000000" w:themeColor="text1"/>
          <w:lang w:val="en-GB"/>
        </w:rPr>
      </w:pPr>
      <w:r w:rsidRPr="00D8050C">
        <w:rPr>
          <w:lang w:val="en-GB"/>
        </w:rPr>
        <w:t>Since the late nineteenth century, the population history of Japan has been one of the most debated problems in anthropology</w:t>
      </w:r>
      <w:r w:rsidRPr="00D8050C">
        <w:rPr>
          <w:rStyle w:val="EndnoteReference"/>
          <w:lang w:val="en-GB"/>
        </w:rPr>
        <w:endnoteReference w:id="6"/>
      </w:r>
      <w:r w:rsidRPr="00D8050C">
        <w:rPr>
          <w:lang w:val="en-GB"/>
        </w:rPr>
        <w:t>. The so-called ‘dual structure hypothesis’</w:t>
      </w:r>
      <w:r w:rsidR="002E0B90" w:rsidRPr="00D8050C">
        <w:rPr>
          <w:lang w:val="en-GB"/>
        </w:rPr>
        <w:t>,</w:t>
      </w:r>
      <w:r w:rsidRPr="00D8050C">
        <w:rPr>
          <w:lang w:val="en-GB"/>
        </w:rPr>
        <w:t xml:space="preserve"> which proposes that Neolithic Jōmon populations admixed with Bronze Age (Yayoi period) migrants to form the modern Japanese</w:t>
      </w:r>
      <w:r w:rsidR="002E0B90" w:rsidRPr="00D8050C">
        <w:rPr>
          <w:lang w:val="en-GB"/>
        </w:rPr>
        <w:t>,</w:t>
      </w:r>
      <w:r w:rsidRPr="00D8050C">
        <w:rPr>
          <w:lang w:val="en-GB"/>
        </w:rPr>
        <w:t xml:space="preserve"> has</w:t>
      </w:r>
      <w:r w:rsidR="002E0B90" w:rsidRPr="00D8050C">
        <w:rPr>
          <w:lang w:val="en-GB"/>
        </w:rPr>
        <w:t xml:space="preserve"> been</w:t>
      </w:r>
      <w:r w:rsidRPr="00D8050C">
        <w:rPr>
          <w:lang w:val="en-GB"/>
        </w:rPr>
        <w:t xml:space="preserve"> the consensus theory for the last three decades</w:t>
      </w:r>
      <w:r w:rsidRPr="00D8050C">
        <w:rPr>
          <w:rStyle w:val="EndnoteReference"/>
          <w:lang w:val="en-GB"/>
        </w:rPr>
        <w:endnoteReference w:id="7"/>
      </w:r>
      <w:r w:rsidRPr="00D8050C">
        <w:rPr>
          <w:lang w:val="en-GB"/>
        </w:rPr>
        <w:t>. However, several unresolved issues with the hypothesis have continued to be discussed</w:t>
      </w:r>
      <w:r w:rsidRPr="00D8050C">
        <w:rPr>
          <w:rStyle w:val="EndnoteReference"/>
          <w:lang w:val="en-GB"/>
        </w:rPr>
        <w:endnoteReference w:id="8"/>
      </w:r>
      <w:r w:rsidRPr="00D8050C">
        <w:rPr>
          <w:lang w:val="en-GB"/>
        </w:rPr>
        <w:t xml:space="preserve">. Our present study provides the clearest support so far obtained for large-scale immigration and admixture in Japanese population history. </w:t>
      </w:r>
      <w:r w:rsidR="002E0B90" w:rsidRPr="00D8050C">
        <w:rPr>
          <w:color w:val="000000" w:themeColor="text1"/>
          <w:lang w:val="en-GB"/>
        </w:rPr>
        <w:t>I</w:t>
      </w:r>
      <w:r w:rsidR="00792753" w:rsidRPr="00D8050C">
        <w:rPr>
          <w:color w:val="000000" w:themeColor="text1"/>
          <w:lang w:val="en-GB"/>
        </w:rPr>
        <w:t xml:space="preserve">ndigenous Jōmon </w:t>
      </w:r>
      <w:r w:rsidR="00416EB5" w:rsidRPr="00D8050C">
        <w:rPr>
          <w:color w:val="000000" w:themeColor="text1"/>
          <w:lang w:val="en-GB"/>
        </w:rPr>
        <w:t>ancestry was very homogenous (</w:t>
      </w:r>
      <w:r w:rsidR="00D74B4C" w:rsidRPr="00D8050C">
        <w:rPr>
          <w:color w:val="000000" w:themeColor="text1"/>
          <w:lang w:val="en-GB"/>
        </w:rPr>
        <w:t xml:space="preserve">Extended Fig. 8; </w:t>
      </w:r>
      <w:r w:rsidR="00CD499A" w:rsidRPr="00D8050C">
        <w:rPr>
          <w:lang w:val="en-GB"/>
        </w:rPr>
        <w:t>SI 13 Figs. 4 and 5</w:t>
      </w:r>
      <w:r w:rsidR="00416EB5" w:rsidRPr="00D8050C">
        <w:rPr>
          <w:color w:val="000000" w:themeColor="text1"/>
          <w:lang w:val="en-GB"/>
        </w:rPr>
        <w:t>)</w:t>
      </w:r>
      <w:r w:rsidR="00416EB5" w:rsidRPr="00D8050C">
        <w:rPr>
          <w:color w:val="FF0000"/>
          <w:lang w:val="en-GB"/>
        </w:rPr>
        <w:t xml:space="preserve"> </w:t>
      </w:r>
      <w:r w:rsidR="002E0B90" w:rsidRPr="00F55510">
        <w:rPr>
          <w:color w:val="000000" w:themeColor="text1"/>
          <w:lang w:val="en-GB"/>
        </w:rPr>
        <w:t xml:space="preserve">even </w:t>
      </w:r>
      <w:r w:rsidR="00416EB5" w:rsidRPr="00F55510">
        <w:rPr>
          <w:color w:val="000000" w:themeColor="text1"/>
          <w:lang w:val="en-GB"/>
        </w:rPr>
        <w:t xml:space="preserve">though </w:t>
      </w:r>
      <w:r w:rsidR="00416EB5" w:rsidRPr="00D8050C">
        <w:rPr>
          <w:color w:val="000000" w:themeColor="text1"/>
          <w:lang w:val="en-GB"/>
        </w:rPr>
        <w:t>the representative samples were from different part</w:t>
      </w:r>
      <w:r w:rsidR="002E0B90" w:rsidRPr="00D8050C">
        <w:rPr>
          <w:color w:val="000000" w:themeColor="text1"/>
          <w:lang w:val="en-GB"/>
        </w:rPr>
        <w:t>s</w:t>
      </w:r>
      <w:r w:rsidR="00416EB5" w:rsidRPr="00D8050C">
        <w:rPr>
          <w:color w:val="000000" w:themeColor="text1"/>
          <w:lang w:val="en-GB"/>
        </w:rPr>
        <w:t xml:space="preserve"> of Japan</w:t>
      </w:r>
      <w:r w:rsidR="002E0B90" w:rsidRPr="00D8050C">
        <w:rPr>
          <w:color w:val="000000" w:themeColor="text1"/>
          <w:lang w:val="en-GB"/>
        </w:rPr>
        <w:t>.</w:t>
      </w:r>
      <w:r w:rsidR="00416EB5" w:rsidRPr="00D8050C">
        <w:rPr>
          <w:color w:val="FF0000"/>
          <w:lang w:val="en-GB"/>
        </w:rPr>
        <w:t xml:space="preserve"> </w:t>
      </w:r>
      <w:r w:rsidR="002E0B90" w:rsidRPr="00D8050C">
        <w:rPr>
          <w:color w:val="000000" w:themeColor="text1"/>
          <w:lang w:val="en-GB"/>
        </w:rPr>
        <w:t>A</w:t>
      </w:r>
      <w:r w:rsidR="00416EB5" w:rsidRPr="00D8050C">
        <w:rPr>
          <w:color w:val="000000" w:themeColor="text1"/>
          <w:lang w:val="en-GB"/>
        </w:rPr>
        <w:t>ll the Yayoi individuals</w:t>
      </w:r>
      <w:r w:rsidR="002E0B90" w:rsidRPr="00D8050C">
        <w:rPr>
          <w:color w:val="000000" w:themeColor="text1"/>
          <w:lang w:val="en-GB"/>
        </w:rPr>
        <w:t>,</w:t>
      </w:r>
      <w:r w:rsidR="00416EB5" w:rsidRPr="00D8050C">
        <w:rPr>
          <w:color w:val="000000" w:themeColor="text1"/>
          <w:lang w:val="en-GB"/>
        </w:rPr>
        <w:t xml:space="preserve"> as well as modern Japanese including the Ryukyu</w:t>
      </w:r>
      <w:r w:rsidR="002E0B90" w:rsidRPr="00D8050C">
        <w:rPr>
          <w:color w:val="000000" w:themeColor="text1"/>
          <w:lang w:val="en-GB"/>
        </w:rPr>
        <w:t>an</w:t>
      </w:r>
      <w:r w:rsidR="00416EB5" w:rsidRPr="00D8050C">
        <w:rPr>
          <w:color w:val="000000" w:themeColor="text1"/>
          <w:lang w:val="en-GB"/>
        </w:rPr>
        <w:t>s</w:t>
      </w:r>
      <w:r w:rsidR="002E0B90" w:rsidRPr="00D8050C">
        <w:rPr>
          <w:color w:val="000000" w:themeColor="text1"/>
          <w:lang w:val="en-GB"/>
        </w:rPr>
        <w:t>,</w:t>
      </w:r>
      <w:r w:rsidR="00416EB5" w:rsidRPr="00D8050C">
        <w:rPr>
          <w:color w:val="000000" w:themeColor="text1"/>
          <w:lang w:val="en-GB"/>
        </w:rPr>
        <w:t xml:space="preserve"> show their affinity not only to</w:t>
      </w:r>
      <w:r w:rsidR="002E0B90" w:rsidRPr="00D8050C">
        <w:rPr>
          <w:color w:val="000000" w:themeColor="text1"/>
          <w:lang w:val="en-GB"/>
        </w:rPr>
        <w:t xml:space="preserve"> the</w:t>
      </w:r>
      <w:r w:rsidR="00416EB5" w:rsidRPr="00D8050C">
        <w:rPr>
          <w:color w:val="000000" w:themeColor="text1"/>
          <w:lang w:val="en-GB"/>
        </w:rPr>
        <w:t xml:space="preserve"> </w:t>
      </w:r>
      <w:r w:rsidR="00A770B8" w:rsidRPr="00D8050C">
        <w:rPr>
          <w:color w:val="000000" w:themeColor="text1"/>
          <w:lang w:val="en-GB"/>
        </w:rPr>
        <w:t>Jōmon but also to mainland East Asians (</w:t>
      </w:r>
      <w:r w:rsidR="002E0B90" w:rsidRPr="00D8050C">
        <w:rPr>
          <w:color w:val="000000" w:themeColor="text1"/>
          <w:lang w:val="en-GB"/>
        </w:rPr>
        <w:t xml:space="preserve">SI 13 </w:t>
      </w:r>
      <w:r w:rsidR="00A770B8" w:rsidRPr="00D8050C">
        <w:rPr>
          <w:color w:val="000000" w:themeColor="text1"/>
          <w:lang w:val="en-GB"/>
        </w:rPr>
        <w:t>Fig</w:t>
      </w:r>
      <w:r w:rsidR="002E0B90" w:rsidRPr="00D8050C">
        <w:rPr>
          <w:color w:val="000000" w:themeColor="text1"/>
          <w:lang w:val="en-GB"/>
        </w:rPr>
        <w:t>.</w:t>
      </w:r>
      <w:r w:rsidR="00A770B8" w:rsidRPr="00D8050C">
        <w:rPr>
          <w:color w:val="000000" w:themeColor="text1"/>
          <w:lang w:val="en-GB"/>
        </w:rPr>
        <w:t xml:space="preserve"> </w:t>
      </w:r>
      <w:r w:rsidR="00FD4471" w:rsidRPr="00D8050C">
        <w:rPr>
          <w:color w:val="000000" w:themeColor="text1"/>
          <w:lang w:val="en-GB"/>
        </w:rPr>
        <w:t>6</w:t>
      </w:r>
      <w:r w:rsidR="00A770B8" w:rsidRPr="00D8050C">
        <w:rPr>
          <w:color w:val="000000" w:themeColor="text1"/>
          <w:lang w:val="en-GB"/>
        </w:rPr>
        <w:t>), and were genetically model</w:t>
      </w:r>
      <w:r w:rsidR="002E0B90" w:rsidRPr="00D8050C">
        <w:rPr>
          <w:color w:val="000000" w:themeColor="text1"/>
          <w:lang w:val="en-GB"/>
        </w:rPr>
        <w:t>l</w:t>
      </w:r>
      <w:r w:rsidR="00A770B8" w:rsidRPr="00D8050C">
        <w:rPr>
          <w:color w:val="000000" w:themeColor="text1"/>
          <w:lang w:val="en-GB"/>
        </w:rPr>
        <w:t xml:space="preserve">ed </w:t>
      </w:r>
      <w:r w:rsidR="002E0B90" w:rsidRPr="00D8050C">
        <w:rPr>
          <w:color w:val="000000" w:themeColor="text1"/>
          <w:lang w:val="en-GB"/>
        </w:rPr>
        <w:t xml:space="preserve">to </w:t>
      </w:r>
      <w:r w:rsidR="00416EB5" w:rsidRPr="00D8050C">
        <w:rPr>
          <w:color w:val="000000" w:themeColor="text1"/>
          <w:lang w:val="en-GB"/>
        </w:rPr>
        <w:t xml:space="preserve">contain not only Jōmon ancestry, but also large ancestry proportions of mainland East Asians, such </w:t>
      </w:r>
      <w:r w:rsidR="002E0B90" w:rsidRPr="00D8050C">
        <w:rPr>
          <w:color w:val="000000" w:themeColor="text1"/>
          <w:lang w:val="en-GB"/>
        </w:rPr>
        <w:t>as</w:t>
      </w:r>
      <w:r w:rsidR="00416EB5" w:rsidRPr="00D8050C">
        <w:rPr>
          <w:color w:val="000000" w:themeColor="text1"/>
          <w:lang w:val="en-GB"/>
        </w:rPr>
        <w:t xml:space="preserve"> West Liao River farmers </w:t>
      </w:r>
      <w:r w:rsidR="002E0B90" w:rsidRPr="00F55510">
        <w:rPr>
          <w:color w:val="000000" w:themeColor="text1"/>
          <w:lang w:val="en-GB"/>
        </w:rPr>
        <w:t xml:space="preserve">from </w:t>
      </w:r>
      <w:r w:rsidR="00416EB5" w:rsidRPr="00D8050C">
        <w:rPr>
          <w:color w:val="000000" w:themeColor="text1"/>
          <w:lang w:val="en-GB"/>
        </w:rPr>
        <w:t>west of the Korean Peninsula (Fig. 3B).</w:t>
      </w:r>
    </w:p>
    <w:p w14:paraId="17395A5E" w14:textId="2B973945" w:rsidR="003E5992" w:rsidRPr="00D8050C" w:rsidRDefault="003E5992" w:rsidP="00D8050C">
      <w:pPr>
        <w:spacing w:line="360" w:lineRule="auto"/>
        <w:rPr>
          <w:lang w:val="en-GB"/>
        </w:rPr>
      </w:pPr>
      <w:r w:rsidRPr="00D8050C">
        <w:rPr>
          <w:lang w:val="en-GB"/>
        </w:rPr>
        <w:tab/>
        <w:t>Archaeological and linguistic evidence</w:t>
      </w:r>
      <w:r w:rsidRPr="00D8050C">
        <w:rPr>
          <w:rStyle w:val="EndnoteReference"/>
          <w:lang w:val="en-GB"/>
        </w:rPr>
        <w:endnoteReference w:id="9"/>
      </w:r>
      <w:r w:rsidRPr="00D8050C">
        <w:rPr>
          <w:lang w:val="en-GB"/>
        </w:rPr>
        <w:t>, together with the mountainous topography of the Japanese archipelago, lead us to expect complex regional differences in admixture between Jōmon and immigrant Bronze Age populations. Recent work in France has used genomic analyses to highlight diverse patterns of interaction between Mesolithic hunter-gatherers and Neolithic farmers</w:t>
      </w:r>
      <w:r w:rsidRPr="00D8050C">
        <w:rPr>
          <w:rStyle w:val="EndnoteReference"/>
          <w:lang w:val="en-GB"/>
        </w:rPr>
        <w:endnoteReference w:id="10"/>
      </w:r>
      <w:r w:rsidRPr="00D8050C">
        <w:rPr>
          <w:lang w:val="en-GB"/>
        </w:rPr>
        <w:t xml:space="preserve">, and future work in Japan needs to look at regional histories of admixture in similar detail. </w:t>
      </w:r>
    </w:p>
    <w:p w14:paraId="637CD8DE" w14:textId="77777777" w:rsidR="003E5992" w:rsidRPr="00D8050C" w:rsidRDefault="003E5992" w:rsidP="00D8050C">
      <w:pPr>
        <w:spacing w:line="360" w:lineRule="auto"/>
        <w:rPr>
          <w:lang w:val="en-GB"/>
        </w:rPr>
      </w:pPr>
    </w:p>
    <w:p w14:paraId="01D072F0" w14:textId="076F9879" w:rsidR="00394DBF" w:rsidRPr="00D8050C" w:rsidRDefault="002E0B90" w:rsidP="00D8050C">
      <w:pPr>
        <w:spacing w:line="360" w:lineRule="auto"/>
        <w:rPr>
          <w:b/>
          <w:bCs/>
          <w:lang w:val="en-GB"/>
        </w:rPr>
      </w:pPr>
      <w:r w:rsidRPr="00D8050C">
        <w:rPr>
          <w:b/>
          <w:bCs/>
          <w:lang w:val="en-GB"/>
        </w:rPr>
        <w:t xml:space="preserve">§2.2.1. Northwest Kyushu and the </w:t>
      </w:r>
      <w:r w:rsidR="00706304" w:rsidRPr="00D8050C">
        <w:rPr>
          <w:b/>
          <w:bCs/>
          <w:lang w:val="en-GB"/>
        </w:rPr>
        <w:t>Shimomotoyama</w:t>
      </w:r>
      <w:r w:rsidRPr="00D8050C">
        <w:rPr>
          <w:b/>
          <w:bCs/>
          <w:lang w:val="en-GB"/>
        </w:rPr>
        <w:t xml:space="preserve"> site</w:t>
      </w:r>
    </w:p>
    <w:p w14:paraId="31652E81" w14:textId="72224830" w:rsidR="007E752B" w:rsidRPr="00D8050C" w:rsidRDefault="007E752B" w:rsidP="00D8050C">
      <w:pPr>
        <w:spacing w:line="360" w:lineRule="auto"/>
        <w:rPr>
          <w:lang w:val="en-GB"/>
        </w:rPr>
      </w:pPr>
      <w:r w:rsidRPr="00D8050C">
        <w:rPr>
          <w:lang w:val="en-GB"/>
        </w:rPr>
        <w:t xml:space="preserve">In terms of cranial morphology, the two skeletons from Shimomotoyama </w:t>
      </w:r>
      <w:r w:rsidR="002E0B90" w:rsidRPr="00D8050C">
        <w:rPr>
          <w:lang w:val="en-GB"/>
        </w:rPr>
        <w:t xml:space="preserve">(Nagasaki) </w:t>
      </w:r>
      <w:r w:rsidRPr="00D8050C">
        <w:rPr>
          <w:lang w:val="en-GB"/>
        </w:rPr>
        <w:t xml:space="preserve">have been classified as belonging to a ‘northwest Kyushu Yayoi type’, usually understood as representing hunter-gatherer populations who continued a ‘traditional’ Jōmon lifestyle long after the arrival of </w:t>
      </w:r>
      <w:r w:rsidRPr="00D8050C">
        <w:rPr>
          <w:color w:val="000000" w:themeColor="text1"/>
          <w:lang w:val="en-GB"/>
        </w:rPr>
        <w:t>cereal farming in north-central Kyushu</w:t>
      </w:r>
      <w:r w:rsidR="00706304" w:rsidRPr="00D8050C">
        <w:rPr>
          <w:rStyle w:val="EndnoteReference"/>
          <w:color w:val="000000" w:themeColor="text1"/>
          <w:lang w:val="en-GB"/>
        </w:rPr>
        <w:endnoteReference w:id="11"/>
      </w:r>
      <w:r w:rsidR="00F45272" w:rsidRPr="00D8050C">
        <w:rPr>
          <w:color w:val="000000" w:themeColor="text1"/>
          <w:vertAlign w:val="superscript"/>
          <w:lang w:val="en-GB"/>
        </w:rPr>
        <w:t>,</w:t>
      </w:r>
      <w:r w:rsidR="00F45272" w:rsidRPr="00D8050C">
        <w:rPr>
          <w:rStyle w:val="EndnoteReference"/>
          <w:color w:val="000000" w:themeColor="text1"/>
          <w:lang w:val="en-GB"/>
        </w:rPr>
        <w:endnoteReference w:id="12"/>
      </w:r>
      <w:r w:rsidRPr="00D8050C">
        <w:rPr>
          <w:color w:val="000000" w:themeColor="text1"/>
          <w:lang w:val="en-GB"/>
        </w:rPr>
        <w:t xml:space="preserve">. However, </w:t>
      </w:r>
      <w:r w:rsidR="003E5992" w:rsidRPr="00D8050C">
        <w:rPr>
          <w:color w:val="000000" w:themeColor="text1"/>
          <w:lang w:val="en-GB"/>
        </w:rPr>
        <w:t xml:space="preserve">our </w:t>
      </w:r>
      <w:r w:rsidR="000F3409" w:rsidRPr="00D8050C">
        <w:rPr>
          <w:color w:val="000000" w:themeColor="text1"/>
          <w:lang w:val="en-GB"/>
        </w:rPr>
        <w:t>genetic</w:t>
      </w:r>
      <w:r w:rsidRPr="00D8050C">
        <w:rPr>
          <w:color w:val="000000" w:themeColor="text1"/>
          <w:lang w:val="en-GB"/>
        </w:rPr>
        <w:t xml:space="preserve"> </w:t>
      </w:r>
      <w:r w:rsidR="000F3409" w:rsidRPr="00D8050C">
        <w:rPr>
          <w:color w:val="000000" w:themeColor="text1"/>
          <w:lang w:val="en-GB"/>
        </w:rPr>
        <w:t>analyses</w:t>
      </w:r>
      <w:r w:rsidRPr="00D8050C">
        <w:rPr>
          <w:color w:val="000000" w:themeColor="text1"/>
          <w:lang w:val="en-GB"/>
        </w:rPr>
        <w:t xml:space="preserve"> confirm previous findings that, notwithstanding the continued presence of Jōmon type cranial morphology, genetic admixture with Yayoi populations was already quite advanced in the region</w:t>
      </w:r>
      <w:r w:rsidR="002E0B90" w:rsidRPr="00D8050C">
        <w:rPr>
          <w:color w:val="000000" w:themeColor="text1"/>
          <w:lang w:val="en-GB"/>
        </w:rPr>
        <w:t>. In</w:t>
      </w:r>
      <w:r w:rsidR="000F3409" w:rsidRPr="00D8050C">
        <w:rPr>
          <w:color w:val="000000" w:themeColor="text1"/>
          <w:lang w:val="en-GB"/>
        </w:rPr>
        <w:t xml:space="preserve"> fact, the two Shimomotoyama individuals </w:t>
      </w:r>
      <w:r w:rsidR="003E5992" w:rsidRPr="00D8050C">
        <w:rPr>
          <w:color w:val="000000" w:themeColor="text1"/>
          <w:lang w:val="en-GB"/>
        </w:rPr>
        <w:t xml:space="preserve">have </w:t>
      </w:r>
      <w:r w:rsidR="00416EB5" w:rsidRPr="00D8050C">
        <w:rPr>
          <w:color w:val="000000" w:themeColor="text1"/>
          <w:lang w:val="en-GB"/>
        </w:rPr>
        <w:t>more</w:t>
      </w:r>
      <w:r w:rsidR="000F3409" w:rsidRPr="00D8050C">
        <w:rPr>
          <w:color w:val="000000" w:themeColor="text1"/>
          <w:lang w:val="en-GB"/>
        </w:rPr>
        <w:t xml:space="preserve"> than </w:t>
      </w:r>
      <w:r w:rsidR="00416EB5" w:rsidRPr="00D8050C">
        <w:rPr>
          <w:color w:val="000000" w:themeColor="text1"/>
          <w:lang w:val="en-GB"/>
        </w:rPr>
        <w:t>60</w:t>
      </w:r>
      <w:r w:rsidR="000F3409" w:rsidRPr="00D8050C">
        <w:rPr>
          <w:color w:val="000000" w:themeColor="text1"/>
          <w:lang w:val="en-GB"/>
        </w:rPr>
        <w:t xml:space="preserve">% </w:t>
      </w:r>
      <w:r w:rsidR="00416EB5" w:rsidRPr="00D8050C">
        <w:rPr>
          <w:color w:val="000000" w:themeColor="text1"/>
          <w:lang w:val="en-GB"/>
        </w:rPr>
        <w:t>mainland East Asian</w:t>
      </w:r>
      <w:r w:rsidR="000F3409" w:rsidRPr="00D8050C">
        <w:rPr>
          <w:color w:val="000000" w:themeColor="text1"/>
          <w:lang w:val="en-GB"/>
        </w:rPr>
        <w:t xml:space="preserve"> related ancestry</w:t>
      </w:r>
      <w:r w:rsidR="00347E94" w:rsidRPr="00D8050C">
        <w:rPr>
          <w:color w:val="000000" w:themeColor="text1"/>
          <w:lang w:val="en-GB"/>
        </w:rPr>
        <w:t xml:space="preserve"> (Fig. 3B)</w:t>
      </w:r>
      <w:r w:rsidRPr="00D8050C">
        <w:rPr>
          <w:color w:val="000000" w:themeColor="text1"/>
          <w:lang w:val="en-GB"/>
        </w:rPr>
        <w:t xml:space="preserve">. In the light of these results, the </w:t>
      </w:r>
      <w:r w:rsidRPr="00D8050C">
        <w:rPr>
          <w:lang w:val="en-GB"/>
        </w:rPr>
        <w:t xml:space="preserve">relationship between </w:t>
      </w:r>
      <w:r w:rsidRPr="00D8050C">
        <w:rPr>
          <w:lang w:val="en-GB"/>
        </w:rPr>
        <w:lastRenderedPageBreak/>
        <w:t>farming and foraging economies in northwest Kyushu during the Yayoi and Kofun periods requires further research.</w:t>
      </w:r>
    </w:p>
    <w:p w14:paraId="4CAEF1FC" w14:textId="6E861DDF" w:rsidR="00F45272" w:rsidRPr="00D8050C" w:rsidRDefault="00F45272" w:rsidP="00D8050C">
      <w:pPr>
        <w:spacing w:line="360" w:lineRule="auto"/>
        <w:rPr>
          <w:lang w:val="en-GB"/>
        </w:rPr>
      </w:pPr>
    </w:p>
    <w:p w14:paraId="2A34DF3C" w14:textId="60B2A322" w:rsidR="00F45272" w:rsidRPr="00D8050C" w:rsidRDefault="002E0B90" w:rsidP="00D8050C">
      <w:pPr>
        <w:spacing w:line="360" w:lineRule="auto"/>
        <w:rPr>
          <w:b/>
          <w:bCs/>
          <w:lang w:val="en-GB"/>
        </w:rPr>
      </w:pPr>
      <w:r w:rsidRPr="00D8050C">
        <w:rPr>
          <w:b/>
          <w:bCs/>
          <w:lang w:val="en-GB"/>
        </w:rPr>
        <w:t xml:space="preserve">§2.2.2. The </w:t>
      </w:r>
      <w:r w:rsidR="00F45272" w:rsidRPr="00D8050C">
        <w:rPr>
          <w:b/>
          <w:bCs/>
          <w:lang w:val="en-GB"/>
        </w:rPr>
        <w:t>Ryukyu</w:t>
      </w:r>
      <w:r w:rsidRPr="00D8050C">
        <w:rPr>
          <w:b/>
          <w:bCs/>
          <w:lang w:val="en-GB"/>
        </w:rPr>
        <w:t xml:space="preserve"> Island</w:t>
      </w:r>
      <w:r w:rsidR="00F45272" w:rsidRPr="00D8050C">
        <w:rPr>
          <w:b/>
          <w:bCs/>
          <w:lang w:val="en-GB"/>
        </w:rPr>
        <w:t>s</w:t>
      </w:r>
    </w:p>
    <w:p w14:paraId="04D8CC7F" w14:textId="5C2EDE26" w:rsidR="00F45272" w:rsidRPr="00D8050C" w:rsidRDefault="00CD76E5" w:rsidP="00D8050C">
      <w:pPr>
        <w:spacing w:line="360" w:lineRule="auto"/>
        <w:rPr>
          <w:lang w:val="en-GB"/>
        </w:rPr>
      </w:pPr>
      <w:r w:rsidRPr="00D8050C">
        <w:rPr>
          <w:lang w:val="en-GB"/>
        </w:rPr>
        <w:t xml:space="preserve">Several Palaeolithic sites </w:t>
      </w:r>
      <w:r w:rsidR="00A55865" w:rsidRPr="00D8050C">
        <w:rPr>
          <w:lang w:val="en-GB"/>
        </w:rPr>
        <w:t xml:space="preserve">are known </w:t>
      </w:r>
      <w:r w:rsidRPr="00D8050C">
        <w:rPr>
          <w:lang w:val="en-GB"/>
        </w:rPr>
        <w:t>in the Ryukyu islands</w:t>
      </w:r>
      <w:r w:rsidR="00A55865" w:rsidRPr="00D8050C">
        <w:rPr>
          <w:lang w:val="en-GB"/>
        </w:rPr>
        <w:t xml:space="preserve">, some with </w:t>
      </w:r>
      <w:r w:rsidRPr="00D8050C">
        <w:rPr>
          <w:lang w:val="en-GB"/>
        </w:rPr>
        <w:t>human skeletal remains</w:t>
      </w:r>
      <w:r w:rsidR="00A55865" w:rsidRPr="00D8050C">
        <w:rPr>
          <w:rStyle w:val="EndnoteReference"/>
          <w:lang w:val="en-GB"/>
        </w:rPr>
        <w:endnoteReference w:id="13"/>
      </w:r>
      <w:r w:rsidRPr="00D8050C">
        <w:rPr>
          <w:lang w:val="en-GB"/>
        </w:rPr>
        <w:t>. Debate continues over whether this Palaeolithic settlement was from the north or south</w:t>
      </w:r>
      <w:r w:rsidR="00D42CD0" w:rsidRPr="00D8050C">
        <w:rPr>
          <w:rStyle w:val="EndnoteReference"/>
          <w:lang w:val="en-GB"/>
        </w:rPr>
        <w:endnoteReference w:id="14"/>
      </w:r>
      <w:r w:rsidR="00D42CD0" w:rsidRPr="00D8050C">
        <w:rPr>
          <w:vertAlign w:val="superscript"/>
          <w:lang w:val="en-GB"/>
        </w:rPr>
        <w:t>,</w:t>
      </w:r>
      <w:r w:rsidRPr="00D8050C">
        <w:rPr>
          <w:rStyle w:val="EndnoteReference"/>
          <w:lang w:val="en-GB"/>
        </w:rPr>
        <w:endnoteReference w:id="15"/>
      </w:r>
      <w:r w:rsidRPr="00D8050C">
        <w:rPr>
          <w:lang w:val="en-GB"/>
        </w:rPr>
        <w:t>.</w:t>
      </w:r>
      <w:r w:rsidR="00D42CD0" w:rsidRPr="00D8050C">
        <w:rPr>
          <w:lang w:val="en-GB"/>
        </w:rPr>
        <w:t xml:space="preserve"> At most Ryukyu sites there is no evidence of settlement continuity between the Palaeolithic and Neolithic. In the northern (Amami) and central (Okinawa) islands, there seems to have been re-settlement from Kyushu </w:t>
      </w:r>
      <w:r w:rsidR="00290148" w:rsidRPr="00D8050C">
        <w:rPr>
          <w:lang w:val="en-GB"/>
        </w:rPr>
        <w:t>in the middle Holocene</w:t>
      </w:r>
      <w:r w:rsidR="00D42CD0" w:rsidRPr="00D8050C">
        <w:rPr>
          <w:rStyle w:val="EndnoteReference"/>
          <w:lang w:val="en-GB"/>
        </w:rPr>
        <w:endnoteReference w:id="16"/>
      </w:r>
      <w:r w:rsidR="00D42CD0" w:rsidRPr="00D8050C">
        <w:rPr>
          <w:lang w:val="en-GB"/>
        </w:rPr>
        <w:t>. In the southern (Sakishima) islands, the Shiraho-Saonetabaru site on Ishigaki has a longer sequence of human skeletal remains</w:t>
      </w:r>
      <w:r w:rsidR="00D42CD0" w:rsidRPr="00D8050C">
        <w:rPr>
          <w:rStyle w:val="EndnoteReference"/>
          <w:lang w:val="en-GB"/>
        </w:rPr>
        <w:endnoteReference w:id="17"/>
      </w:r>
      <w:r w:rsidR="00D42CD0" w:rsidRPr="00D8050C">
        <w:rPr>
          <w:lang w:val="en-GB"/>
        </w:rPr>
        <w:t>, but i</w:t>
      </w:r>
      <w:r w:rsidR="000F3409" w:rsidRPr="00D8050C">
        <w:rPr>
          <w:lang w:val="en-GB"/>
        </w:rPr>
        <w:t>t</w:t>
      </w:r>
      <w:r w:rsidR="00D42CD0" w:rsidRPr="00D8050C">
        <w:rPr>
          <w:lang w:val="en-GB"/>
        </w:rPr>
        <w:t xml:space="preserve"> is unclear if the same population continued to inhabit the island. </w:t>
      </w:r>
      <w:r w:rsidR="00E45F8A" w:rsidRPr="00D8050C">
        <w:rPr>
          <w:lang w:val="en-GB"/>
        </w:rPr>
        <w:t>Elsewhere in the southern Ryukyus, no Holocene sites are known until the third millennium BC. Archaeological research began in the southern Ryukyus in 18</w:t>
      </w:r>
      <w:r w:rsidR="002C0D62" w:rsidRPr="00D8050C">
        <w:rPr>
          <w:lang w:val="en-GB"/>
        </w:rPr>
        <w:t xml:space="preserve">89 and </w:t>
      </w:r>
      <w:r w:rsidR="00290148" w:rsidRPr="00D8050C">
        <w:rPr>
          <w:lang w:val="en-GB"/>
        </w:rPr>
        <w:t>over 50</w:t>
      </w:r>
      <w:r w:rsidR="002C0D62" w:rsidRPr="00D8050C">
        <w:rPr>
          <w:lang w:val="en-GB"/>
        </w:rPr>
        <w:t xml:space="preserve"> prehistoric sites are currently known dating to between </w:t>
      </w:r>
      <w:r w:rsidR="00341D79" w:rsidRPr="00D8050C">
        <w:rPr>
          <w:lang w:val="en-GB"/>
        </w:rPr>
        <w:t xml:space="preserve">ca. </w:t>
      </w:r>
      <w:r w:rsidR="002C0D62" w:rsidRPr="00D8050C">
        <w:rPr>
          <w:lang w:val="en-GB"/>
        </w:rPr>
        <w:t>2</w:t>
      </w:r>
      <w:r w:rsidR="00341D79" w:rsidRPr="00D8050C">
        <w:rPr>
          <w:lang w:val="en-GB"/>
        </w:rPr>
        <w:t>3</w:t>
      </w:r>
      <w:r w:rsidR="002C0D62" w:rsidRPr="00D8050C">
        <w:rPr>
          <w:lang w:val="en-GB"/>
        </w:rPr>
        <w:t xml:space="preserve">00 BC and AD 1000. None of these sites </w:t>
      </w:r>
      <w:r w:rsidR="002C0D62" w:rsidRPr="00D8050C">
        <w:rPr>
          <w:color w:val="000000" w:themeColor="text1"/>
          <w:lang w:val="en-GB"/>
        </w:rPr>
        <w:t xml:space="preserve">have any </w:t>
      </w:r>
      <w:r w:rsidR="00F341F9" w:rsidRPr="00D8050C">
        <w:rPr>
          <w:color w:val="000000" w:themeColor="text1"/>
          <w:lang w:val="en-GB"/>
        </w:rPr>
        <w:t xml:space="preserve">clear </w:t>
      </w:r>
      <w:r w:rsidR="002C0D62" w:rsidRPr="00D8050C">
        <w:rPr>
          <w:color w:val="000000" w:themeColor="text1"/>
          <w:lang w:val="en-GB"/>
        </w:rPr>
        <w:t xml:space="preserve">archaeological evidence of contact with Okinawa or Japan to the north. Two cultural </w:t>
      </w:r>
      <w:r w:rsidR="002C0D62" w:rsidRPr="00D8050C">
        <w:rPr>
          <w:lang w:val="en-GB"/>
        </w:rPr>
        <w:t>phases are usually recognised: an Early Neolithic or Shimotabaru phase dated ca. 2</w:t>
      </w:r>
      <w:r w:rsidR="00341D79" w:rsidRPr="00D8050C">
        <w:rPr>
          <w:lang w:val="en-GB"/>
        </w:rPr>
        <w:t>3</w:t>
      </w:r>
      <w:r w:rsidR="002C0D62" w:rsidRPr="00D8050C">
        <w:rPr>
          <w:lang w:val="en-GB"/>
        </w:rPr>
        <w:t xml:space="preserve">00 – </w:t>
      </w:r>
      <w:r w:rsidR="00ED74EB" w:rsidRPr="00D8050C">
        <w:rPr>
          <w:lang w:val="en-GB"/>
        </w:rPr>
        <w:t>1</w:t>
      </w:r>
      <w:r w:rsidR="00341D79" w:rsidRPr="00D8050C">
        <w:rPr>
          <w:lang w:val="en-GB"/>
        </w:rPr>
        <w:t>2</w:t>
      </w:r>
      <w:r w:rsidR="00ED74EB" w:rsidRPr="00D8050C">
        <w:rPr>
          <w:lang w:val="en-GB"/>
        </w:rPr>
        <w:t>00</w:t>
      </w:r>
      <w:r w:rsidR="002C0D62" w:rsidRPr="00D8050C">
        <w:rPr>
          <w:lang w:val="en-GB"/>
        </w:rPr>
        <w:t xml:space="preserve"> BC and a Late Neolithic or a-ceramic phase dated ca. 800 BC to AD </w:t>
      </w:r>
      <w:r w:rsidR="00ED74EB" w:rsidRPr="00D8050C">
        <w:rPr>
          <w:lang w:val="en-GB"/>
        </w:rPr>
        <w:t>1000</w:t>
      </w:r>
      <w:r w:rsidR="002C0D62" w:rsidRPr="00D8050C">
        <w:rPr>
          <w:rStyle w:val="EndnoteReference"/>
          <w:lang w:val="en-GB"/>
        </w:rPr>
        <w:endnoteReference w:id="18"/>
      </w:r>
      <w:r w:rsidR="002C0D62" w:rsidRPr="00D8050C">
        <w:rPr>
          <w:lang w:val="en-GB"/>
        </w:rPr>
        <w:t xml:space="preserve">. A hiatus of </w:t>
      </w:r>
      <w:r w:rsidR="00341D79" w:rsidRPr="00D8050C">
        <w:rPr>
          <w:lang w:val="en-GB"/>
        </w:rPr>
        <w:t>perhaps</w:t>
      </w:r>
      <w:r w:rsidR="002C0D62" w:rsidRPr="00D8050C">
        <w:rPr>
          <w:lang w:val="en-GB"/>
        </w:rPr>
        <w:t xml:space="preserve"> </w:t>
      </w:r>
      <w:r w:rsidR="00341D79" w:rsidRPr="00D8050C">
        <w:rPr>
          <w:lang w:val="en-GB"/>
        </w:rPr>
        <w:t>4</w:t>
      </w:r>
      <w:r w:rsidR="00ED74EB" w:rsidRPr="00D8050C">
        <w:rPr>
          <w:lang w:val="en-GB"/>
        </w:rPr>
        <w:t>00</w:t>
      </w:r>
      <w:r w:rsidR="002C0D62" w:rsidRPr="00D8050C">
        <w:rPr>
          <w:lang w:val="en-GB"/>
        </w:rPr>
        <w:t xml:space="preserve"> years between these two phases is usually understood as reflecting a transition between two different populations. Given that </w:t>
      </w:r>
      <w:r w:rsidR="002E0B90" w:rsidRPr="00D8050C">
        <w:rPr>
          <w:lang w:val="en-GB"/>
        </w:rPr>
        <w:t xml:space="preserve">no </w:t>
      </w:r>
      <w:r w:rsidR="002C0D62" w:rsidRPr="00D8050C">
        <w:rPr>
          <w:lang w:val="en-GB"/>
        </w:rPr>
        <w:t xml:space="preserve">archaeological evidence exists of contact with the Jōmon world, most scholars have assumed that the Neolithic populations of the southern Ryukyus arrived from the Austronesian world to the south. Early Neolithic Shimotabaru pottery has similarities with </w:t>
      </w:r>
      <w:r w:rsidR="00AF08E2" w:rsidRPr="00D8050C">
        <w:rPr>
          <w:lang w:val="en-GB"/>
        </w:rPr>
        <w:t>Taiwan and an origin on that island has been seen as most probable</w:t>
      </w:r>
      <w:r w:rsidR="00F07535" w:rsidRPr="00D8050C">
        <w:rPr>
          <w:rStyle w:val="EndnoteReference"/>
          <w:lang w:val="en-GB"/>
        </w:rPr>
        <w:endnoteReference w:id="19"/>
      </w:r>
      <w:r w:rsidR="00D403AD" w:rsidRPr="00D8050C">
        <w:rPr>
          <w:vertAlign w:val="superscript"/>
          <w:lang w:val="en-GB"/>
        </w:rPr>
        <w:t>,</w:t>
      </w:r>
      <w:r w:rsidR="00D403AD" w:rsidRPr="00D8050C">
        <w:rPr>
          <w:rStyle w:val="EndnoteReference"/>
          <w:lang w:val="en-GB"/>
        </w:rPr>
        <w:endnoteReference w:id="20"/>
      </w:r>
      <w:r w:rsidR="00AF08E2" w:rsidRPr="00D8050C">
        <w:rPr>
          <w:lang w:val="en-GB"/>
        </w:rPr>
        <w:t xml:space="preserve">. </w:t>
      </w:r>
      <w:r w:rsidR="00941ADB" w:rsidRPr="00D8050C">
        <w:rPr>
          <w:lang w:val="en-GB"/>
        </w:rPr>
        <w:t>T</w:t>
      </w:r>
      <w:r w:rsidR="00AF08E2" w:rsidRPr="00D8050C">
        <w:rPr>
          <w:lang w:val="en-GB"/>
        </w:rPr>
        <w:t xml:space="preserve">he </w:t>
      </w:r>
      <w:r w:rsidR="00941ADB" w:rsidRPr="00D8050C">
        <w:rPr>
          <w:lang w:val="en-GB"/>
        </w:rPr>
        <w:t xml:space="preserve">appearance of the </w:t>
      </w:r>
      <w:r w:rsidR="00AF08E2" w:rsidRPr="00D8050C">
        <w:rPr>
          <w:lang w:val="en-GB"/>
        </w:rPr>
        <w:t>first Early Neolithic sites in the southern Ryukyus at around the same time as the onset of Austronesian voyaging from Taiwan</w:t>
      </w:r>
      <w:r w:rsidR="00941ADB" w:rsidRPr="00D8050C">
        <w:rPr>
          <w:lang w:val="en-GB"/>
        </w:rPr>
        <w:t xml:space="preserve"> may suggest a link between the two processes</w:t>
      </w:r>
      <w:r w:rsidR="00941ADB" w:rsidRPr="00D8050C">
        <w:rPr>
          <w:rStyle w:val="EndnoteReference"/>
          <w:lang w:val="en-GB"/>
        </w:rPr>
        <w:endnoteReference w:id="21"/>
      </w:r>
      <w:r w:rsidR="00941ADB" w:rsidRPr="00D8050C">
        <w:rPr>
          <w:lang w:val="en-GB"/>
        </w:rPr>
        <w:t>.</w:t>
      </w:r>
      <w:r w:rsidR="00AA548C" w:rsidRPr="00D8050C">
        <w:rPr>
          <w:lang w:val="en-GB"/>
        </w:rPr>
        <w:t xml:space="preserve"> In the Late Neolithic, pottery was no longer used or made and </w:t>
      </w:r>
      <w:r w:rsidR="00AA548C" w:rsidRPr="00D8050C">
        <w:rPr>
          <w:i/>
          <w:iCs/>
          <w:lang w:val="en-GB"/>
        </w:rPr>
        <w:t>Tridacna</w:t>
      </w:r>
      <w:r w:rsidR="00AA548C" w:rsidRPr="00D8050C">
        <w:rPr>
          <w:lang w:val="en-GB"/>
        </w:rPr>
        <w:t xml:space="preserve"> shell adzes </w:t>
      </w:r>
      <w:r w:rsidR="007D6749" w:rsidRPr="00D8050C">
        <w:rPr>
          <w:lang w:val="en-GB"/>
        </w:rPr>
        <w:t>became the most diagnostic artefacts</w:t>
      </w:r>
      <w:r w:rsidR="002E0B90" w:rsidRPr="00D8050C">
        <w:rPr>
          <w:lang w:val="en-GB"/>
        </w:rPr>
        <w:t xml:space="preserve"> (see SI 12 Fig. 1</w:t>
      </w:r>
      <w:r w:rsidR="00F341F9" w:rsidRPr="00D8050C">
        <w:rPr>
          <w:lang w:val="en-GB"/>
        </w:rPr>
        <w:t>3</w:t>
      </w:r>
      <w:r w:rsidR="002E0B90" w:rsidRPr="00D8050C">
        <w:rPr>
          <w:lang w:val="en-GB"/>
        </w:rPr>
        <w:t>)</w:t>
      </w:r>
      <w:r w:rsidR="007D6749" w:rsidRPr="00D8050C">
        <w:rPr>
          <w:lang w:val="en-GB"/>
        </w:rPr>
        <w:t>. For some archaeologists this has suggested the possibility that the Late Neolithic people re-colonised the southern Ryukyus from the Philippines</w:t>
      </w:r>
      <w:r w:rsidR="007D6749" w:rsidRPr="00D8050C">
        <w:rPr>
          <w:rStyle w:val="EndnoteReference"/>
          <w:lang w:val="en-GB"/>
        </w:rPr>
        <w:endnoteReference w:id="22"/>
      </w:r>
      <w:r w:rsidR="007D6749" w:rsidRPr="00D8050C">
        <w:rPr>
          <w:lang w:val="en-GB"/>
        </w:rPr>
        <w:t>.</w:t>
      </w:r>
    </w:p>
    <w:p w14:paraId="6D60EF9D" w14:textId="58F5A812" w:rsidR="00936A91" w:rsidRPr="00D8050C" w:rsidRDefault="007D6749" w:rsidP="00D8050C">
      <w:pPr>
        <w:spacing w:line="360" w:lineRule="auto"/>
        <w:rPr>
          <w:lang w:val="en-GB"/>
        </w:rPr>
      </w:pPr>
      <w:r w:rsidRPr="00D8050C">
        <w:rPr>
          <w:lang w:val="en-GB"/>
        </w:rPr>
        <w:tab/>
        <w:t xml:space="preserve">Our results suggest the need for a major re-evaluation of existing interpretations of the </w:t>
      </w:r>
      <w:r w:rsidRPr="00D8050C">
        <w:rPr>
          <w:color w:val="000000" w:themeColor="text1"/>
          <w:lang w:val="en-GB"/>
        </w:rPr>
        <w:t xml:space="preserve">prehistory of the southern Ryukyus. </w:t>
      </w:r>
      <w:r w:rsidR="00FE5258" w:rsidRPr="00D8050C">
        <w:rPr>
          <w:color w:val="000000" w:themeColor="text1"/>
          <w:lang w:val="en-GB"/>
        </w:rPr>
        <w:t xml:space="preserve">Instead of </w:t>
      </w:r>
      <w:r w:rsidR="0081463B" w:rsidRPr="00D8050C">
        <w:rPr>
          <w:color w:val="000000" w:themeColor="text1"/>
          <w:lang w:val="en-GB"/>
        </w:rPr>
        <w:t>a</w:t>
      </w:r>
      <w:r w:rsidR="002E0B90" w:rsidRPr="00D8050C">
        <w:rPr>
          <w:color w:val="000000" w:themeColor="text1"/>
          <w:lang w:val="en-GB"/>
        </w:rPr>
        <w:t>n origin in</w:t>
      </w:r>
      <w:r w:rsidR="0081463B" w:rsidRPr="00D8050C">
        <w:rPr>
          <w:color w:val="000000" w:themeColor="text1"/>
          <w:lang w:val="en-GB"/>
        </w:rPr>
        <w:t xml:space="preserve"> </w:t>
      </w:r>
      <w:r w:rsidR="00FE5258" w:rsidRPr="00D8050C">
        <w:rPr>
          <w:color w:val="000000" w:themeColor="text1"/>
          <w:lang w:val="en-GB"/>
        </w:rPr>
        <w:t>Taiwan</w:t>
      </w:r>
      <w:r w:rsidR="002E0B90" w:rsidRPr="00D8050C">
        <w:rPr>
          <w:color w:val="000000" w:themeColor="text1"/>
          <w:lang w:val="en-GB"/>
        </w:rPr>
        <w:t xml:space="preserve"> or the Philippines,</w:t>
      </w:r>
      <w:r w:rsidR="00FE5258" w:rsidRPr="00D8050C">
        <w:rPr>
          <w:color w:val="000000" w:themeColor="text1"/>
          <w:lang w:val="en-GB"/>
        </w:rPr>
        <w:t xml:space="preserve"> the DNA of the prehistoric inhabitants of the Nagabaka site shows that they </w:t>
      </w:r>
      <w:r w:rsidR="00325814" w:rsidRPr="00D8050C">
        <w:rPr>
          <w:color w:val="000000" w:themeColor="text1"/>
          <w:lang w:val="en-GB"/>
        </w:rPr>
        <w:t xml:space="preserve">were probably </w:t>
      </w:r>
      <w:r w:rsidR="00FE5258" w:rsidRPr="00D8050C">
        <w:rPr>
          <w:color w:val="000000" w:themeColor="text1"/>
          <w:lang w:val="en-GB"/>
        </w:rPr>
        <w:t>originated in the Jōmon world to the north</w:t>
      </w:r>
      <w:r w:rsidR="0081463B" w:rsidRPr="00D8050C">
        <w:rPr>
          <w:color w:val="000000" w:themeColor="text1"/>
          <w:lang w:val="en-GB"/>
        </w:rPr>
        <w:t xml:space="preserve">. </w:t>
      </w:r>
      <w:r w:rsidR="002E0B90" w:rsidRPr="00D8050C">
        <w:rPr>
          <w:color w:val="000000" w:themeColor="text1"/>
          <w:lang w:val="en-GB"/>
        </w:rPr>
        <w:t xml:space="preserve">The Okinawa islands 250 km to the north are the most likely source, but </w:t>
      </w:r>
      <w:r w:rsidR="00FE5258" w:rsidRPr="00D8050C">
        <w:rPr>
          <w:color w:val="000000" w:themeColor="text1"/>
          <w:lang w:val="en-GB"/>
        </w:rPr>
        <w:t xml:space="preserve">a longer voyage from Japan cannot be ruled out. As explained in SI </w:t>
      </w:r>
      <w:r w:rsidR="002E0B90" w:rsidRPr="00D8050C">
        <w:rPr>
          <w:color w:val="000000" w:themeColor="text1"/>
          <w:lang w:val="en-GB"/>
        </w:rPr>
        <w:t>12</w:t>
      </w:r>
      <w:r w:rsidR="00FE5258" w:rsidRPr="00D8050C">
        <w:rPr>
          <w:color w:val="000000" w:themeColor="text1"/>
          <w:lang w:val="en-GB"/>
        </w:rPr>
        <w:t xml:space="preserve">, the stratigraphy of the Nagabaka site provides no evidence for a hiatus in occupation </w:t>
      </w:r>
      <w:r w:rsidR="00FE5258" w:rsidRPr="00D8050C">
        <w:rPr>
          <w:color w:val="000000" w:themeColor="text1"/>
          <w:lang w:val="en-GB"/>
        </w:rPr>
        <w:lastRenderedPageBreak/>
        <w:t>between the Early and Late Neolithic phases</w:t>
      </w:r>
      <w:r w:rsidR="00282AF1" w:rsidRPr="00D8050C">
        <w:rPr>
          <w:color w:val="000000" w:themeColor="text1"/>
          <w:lang w:val="en-GB"/>
        </w:rPr>
        <w:t>. We have samples from both the Early (‘Nagabaka</w:t>
      </w:r>
      <w:r w:rsidR="002E0B90" w:rsidRPr="00D8050C">
        <w:rPr>
          <w:color w:val="000000" w:themeColor="text1"/>
          <w:lang w:val="en-GB"/>
        </w:rPr>
        <w:t>_early’</w:t>
      </w:r>
      <w:r w:rsidR="00282AF1" w:rsidRPr="00D8050C">
        <w:rPr>
          <w:color w:val="000000" w:themeColor="text1"/>
          <w:lang w:val="en-GB"/>
        </w:rPr>
        <w:t>) and Late (‘Nagabaka</w:t>
      </w:r>
      <w:r w:rsidR="002E0B90" w:rsidRPr="00D8050C">
        <w:rPr>
          <w:color w:val="000000" w:themeColor="text1"/>
          <w:lang w:val="en-GB"/>
        </w:rPr>
        <w:t>_late</w:t>
      </w:r>
      <w:r w:rsidR="00282AF1" w:rsidRPr="00D8050C">
        <w:rPr>
          <w:color w:val="000000" w:themeColor="text1"/>
          <w:lang w:val="en-GB"/>
        </w:rPr>
        <w:t xml:space="preserve">’) Neolithic </w:t>
      </w:r>
      <w:r w:rsidR="002E0B90" w:rsidRPr="00D8050C">
        <w:rPr>
          <w:color w:val="000000" w:themeColor="text1"/>
          <w:lang w:val="en-GB"/>
        </w:rPr>
        <w:t xml:space="preserve">phases </w:t>
      </w:r>
      <w:r w:rsidR="00282AF1" w:rsidRPr="00D8050C">
        <w:rPr>
          <w:color w:val="000000" w:themeColor="text1"/>
          <w:lang w:val="en-GB"/>
        </w:rPr>
        <w:t>on Miyako island.</w:t>
      </w:r>
      <w:r w:rsidR="00A52932" w:rsidRPr="00D8050C">
        <w:rPr>
          <w:color w:val="000000" w:themeColor="text1"/>
          <w:lang w:val="en-GB"/>
        </w:rPr>
        <w:t xml:space="preserve"> </w:t>
      </w:r>
      <w:r w:rsidR="00282AF1" w:rsidRPr="00D8050C">
        <w:rPr>
          <w:color w:val="000000" w:themeColor="text1"/>
          <w:lang w:val="en-GB"/>
        </w:rPr>
        <w:t xml:space="preserve">Our </w:t>
      </w:r>
      <w:r w:rsidR="00A52932" w:rsidRPr="00D8050C">
        <w:rPr>
          <w:color w:val="000000" w:themeColor="text1"/>
          <w:lang w:val="en-GB"/>
        </w:rPr>
        <w:t xml:space="preserve">DNA </w:t>
      </w:r>
      <w:r w:rsidR="00AA6FB9" w:rsidRPr="00D8050C">
        <w:rPr>
          <w:color w:val="000000" w:themeColor="text1"/>
          <w:lang w:val="en-GB"/>
        </w:rPr>
        <w:t xml:space="preserve">data likely </w:t>
      </w:r>
      <w:r w:rsidR="00A52932" w:rsidRPr="00D8050C">
        <w:rPr>
          <w:color w:val="000000" w:themeColor="text1"/>
          <w:lang w:val="en-GB"/>
        </w:rPr>
        <w:t xml:space="preserve">supports continuity between </w:t>
      </w:r>
      <w:r w:rsidR="00341D79" w:rsidRPr="00D8050C">
        <w:rPr>
          <w:color w:val="000000" w:themeColor="text1"/>
          <w:lang w:val="en-GB"/>
        </w:rPr>
        <w:t xml:space="preserve">the </w:t>
      </w:r>
      <w:r w:rsidR="002E0B90" w:rsidRPr="00D8050C">
        <w:rPr>
          <w:color w:val="000000" w:themeColor="text1"/>
          <w:lang w:val="en-GB"/>
        </w:rPr>
        <w:t xml:space="preserve">Early and Late </w:t>
      </w:r>
      <w:r w:rsidR="00A52932" w:rsidRPr="00D8050C">
        <w:rPr>
          <w:color w:val="000000" w:themeColor="text1"/>
          <w:lang w:val="en-GB"/>
        </w:rPr>
        <w:t xml:space="preserve">Nagabaka </w:t>
      </w:r>
      <w:r w:rsidR="00341D79" w:rsidRPr="00D8050C">
        <w:rPr>
          <w:color w:val="000000" w:themeColor="text1"/>
          <w:lang w:val="en-GB"/>
        </w:rPr>
        <w:t>samples</w:t>
      </w:r>
      <w:r w:rsidR="00CE26AA" w:rsidRPr="00D8050C">
        <w:rPr>
          <w:color w:val="000000" w:themeColor="text1"/>
          <w:lang w:val="en-GB"/>
        </w:rPr>
        <w:t xml:space="preserve"> (SI 13 Figs. </w:t>
      </w:r>
      <w:r w:rsidR="002E4E8C" w:rsidRPr="00D8050C">
        <w:rPr>
          <w:color w:val="000000" w:themeColor="text1"/>
          <w:lang w:val="en-GB"/>
        </w:rPr>
        <w:t xml:space="preserve">3 and </w:t>
      </w:r>
      <w:r w:rsidR="00CE26AA" w:rsidRPr="00D8050C">
        <w:rPr>
          <w:color w:val="000000" w:themeColor="text1"/>
          <w:lang w:val="en-GB"/>
        </w:rPr>
        <w:t>7)</w:t>
      </w:r>
      <w:r w:rsidR="002E0B90" w:rsidRPr="00D8050C">
        <w:rPr>
          <w:color w:val="000000" w:themeColor="text1"/>
          <w:lang w:val="en-GB"/>
        </w:rPr>
        <w:t>;</w:t>
      </w:r>
      <w:r w:rsidR="00AA6FB9" w:rsidRPr="00D8050C">
        <w:rPr>
          <w:color w:val="000000" w:themeColor="text1"/>
          <w:lang w:val="en-GB"/>
        </w:rPr>
        <w:t xml:space="preserve"> although the former was</w:t>
      </w:r>
      <w:r w:rsidR="00A770B8" w:rsidRPr="00D8050C">
        <w:rPr>
          <w:color w:val="000000" w:themeColor="text1"/>
          <w:lang w:val="en-GB"/>
        </w:rPr>
        <w:t xml:space="preserve"> low </w:t>
      </w:r>
      <w:r w:rsidR="002E0B90" w:rsidRPr="00D8050C">
        <w:rPr>
          <w:color w:val="000000" w:themeColor="text1"/>
          <w:lang w:val="en-GB"/>
        </w:rPr>
        <w:t xml:space="preserve">in </w:t>
      </w:r>
      <w:r w:rsidR="00A770B8" w:rsidRPr="00D8050C">
        <w:rPr>
          <w:color w:val="000000" w:themeColor="text1"/>
          <w:lang w:val="en-GB"/>
        </w:rPr>
        <w:t xml:space="preserve">coverage and might </w:t>
      </w:r>
      <w:r w:rsidR="002E0B90" w:rsidRPr="00D8050C">
        <w:rPr>
          <w:color w:val="000000" w:themeColor="text1"/>
          <w:lang w:val="en-GB"/>
        </w:rPr>
        <w:t xml:space="preserve">be </w:t>
      </w:r>
      <w:r w:rsidR="00AA6FB9" w:rsidRPr="00D8050C">
        <w:rPr>
          <w:color w:val="000000" w:themeColor="text1"/>
          <w:lang w:val="en-GB"/>
        </w:rPr>
        <w:t>su</w:t>
      </w:r>
      <w:r w:rsidR="003E5992" w:rsidRPr="00D8050C">
        <w:rPr>
          <w:color w:val="000000" w:themeColor="text1"/>
          <w:lang w:val="en-GB"/>
        </w:rPr>
        <w:t>b</w:t>
      </w:r>
      <w:r w:rsidR="00AA6FB9" w:rsidRPr="00D8050C">
        <w:rPr>
          <w:color w:val="000000" w:themeColor="text1"/>
          <w:lang w:val="en-GB"/>
        </w:rPr>
        <w:t xml:space="preserve">ject </w:t>
      </w:r>
      <w:r w:rsidR="00341D79" w:rsidRPr="00D8050C">
        <w:rPr>
          <w:color w:val="000000" w:themeColor="text1"/>
          <w:lang w:val="en-GB"/>
        </w:rPr>
        <w:t xml:space="preserve">to some </w:t>
      </w:r>
      <w:r w:rsidR="00A770B8" w:rsidRPr="00D8050C">
        <w:rPr>
          <w:color w:val="000000" w:themeColor="text1"/>
          <w:lang w:val="en-GB"/>
        </w:rPr>
        <w:t xml:space="preserve">degree of </w:t>
      </w:r>
      <w:r w:rsidR="00AA6FB9" w:rsidRPr="00D8050C">
        <w:rPr>
          <w:color w:val="000000" w:themeColor="text1"/>
          <w:lang w:val="en-GB"/>
        </w:rPr>
        <w:t>West Eurasian contamination</w:t>
      </w:r>
      <w:r w:rsidR="00531696" w:rsidRPr="00D8050C">
        <w:rPr>
          <w:color w:val="000000" w:themeColor="text1"/>
          <w:lang w:val="en-GB"/>
        </w:rPr>
        <w:t xml:space="preserve"> (</w:t>
      </w:r>
      <w:r w:rsidR="00D8050C">
        <w:rPr>
          <w:color w:val="000000" w:themeColor="text1"/>
          <w:lang w:val="en-GB"/>
        </w:rPr>
        <w:t xml:space="preserve">See </w:t>
      </w:r>
      <w:r w:rsidR="00AA095C" w:rsidRPr="00D8050C">
        <w:rPr>
          <w:color w:val="000000" w:themeColor="text1"/>
          <w:lang w:val="en-GB"/>
        </w:rPr>
        <w:t xml:space="preserve">qpAdm admixture </w:t>
      </w:r>
      <w:r w:rsidR="00D8050C">
        <w:rPr>
          <w:color w:val="000000" w:themeColor="text1"/>
          <w:lang w:val="en-GB"/>
        </w:rPr>
        <w:t>modelling in SI 16</w:t>
      </w:r>
      <w:r w:rsidR="00531696" w:rsidRPr="00D8050C">
        <w:rPr>
          <w:color w:val="000000" w:themeColor="text1"/>
          <w:lang w:val="en-GB"/>
        </w:rPr>
        <w:t>)</w:t>
      </w:r>
      <w:r w:rsidR="00140454" w:rsidRPr="00D8050C">
        <w:rPr>
          <w:color w:val="000000" w:themeColor="text1"/>
          <w:lang w:val="en-GB"/>
        </w:rPr>
        <w:t xml:space="preserve">, the latter </w:t>
      </w:r>
      <w:r w:rsidR="004B05B0" w:rsidRPr="00D8050C">
        <w:rPr>
          <w:color w:val="000000" w:themeColor="text1"/>
          <w:lang w:val="en-GB"/>
        </w:rPr>
        <w:t>can be safely</w:t>
      </w:r>
      <w:r w:rsidR="00140454" w:rsidRPr="00D8050C">
        <w:rPr>
          <w:color w:val="000000" w:themeColor="text1"/>
          <w:lang w:val="en-GB"/>
        </w:rPr>
        <w:t xml:space="preserve"> identified as harbouring a characteristic Jōmon genetic profile (</w:t>
      </w:r>
      <w:r w:rsidR="002E0B90" w:rsidRPr="00D8050C">
        <w:rPr>
          <w:color w:val="000000" w:themeColor="text1"/>
          <w:lang w:val="en-GB"/>
        </w:rPr>
        <w:t xml:space="preserve">SI 13 </w:t>
      </w:r>
      <w:r w:rsidR="00140454" w:rsidRPr="00D8050C">
        <w:rPr>
          <w:color w:val="000000" w:themeColor="text1"/>
          <w:lang w:val="en-GB"/>
        </w:rPr>
        <w:t>Fig</w:t>
      </w:r>
      <w:r w:rsidR="002E0B90" w:rsidRPr="00D8050C">
        <w:rPr>
          <w:color w:val="000000" w:themeColor="text1"/>
          <w:lang w:val="en-GB"/>
        </w:rPr>
        <w:t xml:space="preserve">s. </w:t>
      </w:r>
      <w:r w:rsidR="00E143FA" w:rsidRPr="00D8050C">
        <w:rPr>
          <w:color w:val="000000" w:themeColor="text1"/>
          <w:lang w:val="en-GB"/>
        </w:rPr>
        <w:t>3</w:t>
      </w:r>
      <w:r w:rsidR="00140454" w:rsidRPr="00D8050C">
        <w:rPr>
          <w:color w:val="000000" w:themeColor="text1"/>
          <w:lang w:val="en-GB"/>
        </w:rPr>
        <w:t xml:space="preserve"> and </w:t>
      </w:r>
      <w:r w:rsidR="00CE26AA" w:rsidRPr="00D8050C">
        <w:rPr>
          <w:color w:val="000000" w:themeColor="text1"/>
          <w:lang w:val="en-GB"/>
        </w:rPr>
        <w:t>8</w:t>
      </w:r>
      <w:r w:rsidR="00140454" w:rsidRPr="00D8050C">
        <w:rPr>
          <w:color w:val="000000" w:themeColor="text1"/>
          <w:lang w:val="en-GB"/>
        </w:rPr>
        <w:t xml:space="preserve">). </w:t>
      </w:r>
      <w:r w:rsidR="00AA6FB9" w:rsidRPr="00D8050C">
        <w:rPr>
          <w:color w:val="000000" w:themeColor="text1"/>
          <w:lang w:val="en-GB"/>
        </w:rPr>
        <w:t xml:space="preserve">By historic times, new ancestry </w:t>
      </w:r>
      <w:r w:rsidR="00D45F49" w:rsidRPr="00D8050C">
        <w:rPr>
          <w:color w:val="000000" w:themeColor="text1"/>
          <w:lang w:val="en-GB"/>
        </w:rPr>
        <w:t>ultimately</w:t>
      </w:r>
      <w:r w:rsidR="00140454" w:rsidRPr="00D8050C">
        <w:rPr>
          <w:color w:val="000000" w:themeColor="text1"/>
          <w:lang w:val="en-GB"/>
        </w:rPr>
        <w:t xml:space="preserve"> </w:t>
      </w:r>
      <w:r w:rsidR="00AA6FB9" w:rsidRPr="00D8050C">
        <w:rPr>
          <w:color w:val="000000" w:themeColor="text1"/>
          <w:lang w:val="en-GB"/>
        </w:rPr>
        <w:t>related to West Liao River Basin millet farmers w</w:t>
      </w:r>
      <w:r w:rsidR="00341D79" w:rsidRPr="00D8050C">
        <w:rPr>
          <w:color w:val="000000" w:themeColor="text1"/>
          <w:lang w:val="en-GB"/>
        </w:rPr>
        <w:t>as</w:t>
      </w:r>
      <w:r w:rsidR="00AA6FB9" w:rsidRPr="00D8050C">
        <w:rPr>
          <w:color w:val="000000" w:themeColor="text1"/>
          <w:lang w:val="en-GB"/>
        </w:rPr>
        <w:t xml:space="preserve"> added to the preceding populations</w:t>
      </w:r>
      <w:r w:rsidR="00D45F49" w:rsidRPr="00D8050C">
        <w:rPr>
          <w:color w:val="000000" w:themeColor="text1"/>
          <w:lang w:val="en-GB"/>
        </w:rPr>
        <w:t>,</w:t>
      </w:r>
      <w:r w:rsidR="00AA6FB9" w:rsidRPr="00D8050C">
        <w:rPr>
          <w:color w:val="000000" w:themeColor="text1"/>
          <w:lang w:val="en-GB"/>
        </w:rPr>
        <w:t xml:space="preserve"> chang</w:t>
      </w:r>
      <w:r w:rsidR="00D45F49" w:rsidRPr="00D8050C">
        <w:rPr>
          <w:color w:val="000000" w:themeColor="text1"/>
          <w:lang w:val="en-GB"/>
        </w:rPr>
        <w:t>ing</w:t>
      </w:r>
      <w:r w:rsidR="00AA6FB9" w:rsidRPr="00D8050C">
        <w:rPr>
          <w:color w:val="000000" w:themeColor="text1"/>
          <w:lang w:val="en-GB"/>
        </w:rPr>
        <w:t xml:space="preserve"> </w:t>
      </w:r>
      <w:r w:rsidR="0031488C" w:rsidRPr="00D8050C">
        <w:rPr>
          <w:color w:val="000000" w:themeColor="text1"/>
          <w:lang w:val="en-GB"/>
        </w:rPr>
        <w:t>their genetic profile from majority J</w:t>
      </w:r>
      <w:r w:rsidR="00282AF1" w:rsidRPr="00D8050C">
        <w:rPr>
          <w:color w:val="000000" w:themeColor="text1"/>
          <w:lang w:val="en-GB"/>
        </w:rPr>
        <w:t>ō</w:t>
      </w:r>
      <w:r w:rsidR="0031488C" w:rsidRPr="00D8050C">
        <w:rPr>
          <w:color w:val="000000" w:themeColor="text1"/>
          <w:lang w:val="en-GB"/>
        </w:rPr>
        <w:t xml:space="preserve">mon ancestry to </w:t>
      </w:r>
      <w:r w:rsidR="00D45F49" w:rsidRPr="00D8050C">
        <w:rPr>
          <w:color w:val="000000" w:themeColor="text1"/>
          <w:lang w:val="en-GB"/>
        </w:rPr>
        <w:t xml:space="preserve">majority </w:t>
      </w:r>
      <w:r w:rsidR="0031488C" w:rsidRPr="00D8050C">
        <w:rPr>
          <w:color w:val="000000" w:themeColor="text1"/>
          <w:lang w:val="en-GB"/>
        </w:rPr>
        <w:t>millet farmer ancestry</w:t>
      </w:r>
      <w:r w:rsidR="00531696" w:rsidRPr="00D8050C">
        <w:rPr>
          <w:color w:val="000000" w:themeColor="text1"/>
          <w:lang w:val="en-GB"/>
        </w:rPr>
        <w:t xml:space="preserve"> (SI 13 Fig. 9)</w:t>
      </w:r>
      <w:r w:rsidR="0031488C" w:rsidRPr="00D8050C">
        <w:rPr>
          <w:color w:val="000000" w:themeColor="text1"/>
          <w:lang w:val="en-GB"/>
        </w:rPr>
        <w:t>.</w:t>
      </w:r>
      <w:r w:rsidR="00AA6FB9" w:rsidRPr="00D8050C">
        <w:rPr>
          <w:color w:val="000000" w:themeColor="text1"/>
          <w:lang w:val="en-GB"/>
        </w:rPr>
        <w:t xml:space="preserve"> </w:t>
      </w:r>
      <w:r w:rsidR="0031488C" w:rsidRPr="00D8050C">
        <w:rPr>
          <w:color w:val="000000" w:themeColor="text1"/>
          <w:lang w:val="en-GB"/>
        </w:rPr>
        <w:t>We find no evidence of genetic contribution from Taiwan to the Nagabaka individuals</w:t>
      </w:r>
      <w:r w:rsidR="00531696" w:rsidRPr="00D8050C">
        <w:rPr>
          <w:color w:val="000000" w:themeColor="text1"/>
          <w:lang w:val="en-GB"/>
        </w:rPr>
        <w:t xml:space="preserve"> </w:t>
      </w:r>
      <w:r w:rsidR="00D8050C" w:rsidRPr="00D8050C">
        <w:rPr>
          <w:color w:val="000000" w:themeColor="text1"/>
          <w:lang w:val="en-GB"/>
        </w:rPr>
        <w:t>(</w:t>
      </w:r>
      <w:r w:rsidR="00D8050C">
        <w:rPr>
          <w:color w:val="000000" w:themeColor="text1"/>
          <w:lang w:val="en-GB"/>
        </w:rPr>
        <w:t xml:space="preserve">See </w:t>
      </w:r>
      <w:r w:rsidR="00D8050C" w:rsidRPr="00D8050C">
        <w:rPr>
          <w:color w:val="000000" w:themeColor="text1"/>
          <w:lang w:val="en-GB"/>
        </w:rPr>
        <w:t xml:space="preserve">qpAdm admixture </w:t>
      </w:r>
      <w:r w:rsidR="00D8050C">
        <w:rPr>
          <w:color w:val="000000" w:themeColor="text1"/>
          <w:lang w:val="en-GB"/>
        </w:rPr>
        <w:t>modelling in SI 16</w:t>
      </w:r>
      <w:r w:rsidR="00D8050C" w:rsidRPr="00D8050C">
        <w:rPr>
          <w:color w:val="000000" w:themeColor="text1"/>
          <w:lang w:val="en-GB"/>
        </w:rPr>
        <w:t xml:space="preserve">), </w:t>
      </w:r>
      <w:r w:rsidR="0031488C" w:rsidRPr="00D8050C">
        <w:rPr>
          <w:color w:val="000000" w:themeColor="text1"/>
          <w:lang w:val="en-GB"/>
        </w:rPr>
        <w:t>although we can</w:t>
      </w:r>
      <w:r w:rsidR="00282AF1" w:rsidRPr="00D8050C">
        <w:rPr>
          <w:color w:val="000000" w:themeColor="text1"/>
          <w:lang w:val="en-GB"/>
        </w:rPr>
        <w:t>not</w:t>
      </w:r>
      <w:r w:rsidR="00A52932" w:rsidRPr="00D8050C">
        <w:rPr>
          <w:color w:val="000000" w:themeColor="text1"/>
          <w:lang w:val="en-GB"/>
        </w:rPr>
        <w:t xml:space="preserve"> rule out </w:t>
      </w:r>
      <w:r w:rsidR="00A52932" w:rsidRPr="00D8050C">
        <w:rPr>
          <w:lang w:val="en-GB"/>
        </w:rPr>
        <w:t xml:space="preserve">the possibility that other Neolithic sites in the southern Ryukyus were settled from Taiwan. </w:t>
      </w:r>
      <w:r w:rsidR="00ED74EB" w:rsidRPr="00D8050C">
        <w:rPr>
          <w:lang w:val="en-GB"/>
        </w:rPr>
        <w:t xml:space="preserve">The southern Ryukyu islands are extremely important as the prehistoric boundary between the Jōmon and Austronesian worlds and further research is needed to explore the population history of this region. </w:t>
      </w:r>
    </w:p>
    <w:p w14:paraId="0865AE4C" w14:textId="243BA9FC" w:rsidR="00D45F49" w:rsidRPr="00D8050C" w:rsidRDefault="00936A91" w:rsidP="00D8050C">
      <w:pPr>
        <w:spacing w:line="360" w:lineRule="auto"/>
        <w:rPr>
          <w:color w:val="FF0000"/>
          <w:lang w:val="en-GB"/>
        </w:rPr>
      </w:pPr>
      <w:r w:rsidRPr="00D8050C">
        <w:rPr>
          <w:color w:val="FF0000"/>
          <w:lang w:val="en-GB"/>
        </w:rPr>
        <w:br w:type="page"/>
      </w:r>
    </w:p>
    <w:p w14:paraId="6C9BC33D" w14:textId="2FD5A5FF" w:rsidR="00CB2CDF" w:rsidRPr="00D8050C" w:rsidRDefault="00314812" w:rsidP="00D8050C">
      <w:pPr>
        <w:spacing w:line="360" w:lineRule="auto"/>
        <w:rPr>
          <w:lang w:val="en-GB"/>
        </w:rPr>
      </w:pPr>
      <w:r w:rsidRPr="00D8050C">
        <w:rPr>
          <w:noProof/>
          <w:lang w:val="en-GB"/>
        </w:rPr>
        <w:lastRenderedPageBreak/>
        <w:drawing>
          <wp:inline distT="0" distB="0" distL="0" distR="0" wp14:anchorId="3FFC13E9" wp14:editId="70B679D0">
            <wp:extent cx="5731510" cy="1858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a:graphicData>
            </a:graphic>
          </wp:inline>
        </w:drawing>
      </w:r>
      <w:r w:rsidR="007F7B4B" w:rsidRPr="00D8050C">
        <w:rPr>
          <w:b/>
          <w:bCs/>
          <w:lang w:val="en-GB"/>
        </w:rPr>
        <w:t xml:space="preserve">SI 13 </w:t>
      </w:r>
      <w:r w:rsidRPr="00D8050C">
        <w:rPr>
          <w:b/>
          <w:bCs/>
          <w:lang w:val="en-GB"/>
        </w:rPr>
        <w:t>Fig</w:t>
      </w:r>
      <w:r w:rsidR="003B64B5" w:rsidRPr="00D8050C">
        <w:rPr>
          <w:b/>
          <w:bCs/>
          <w:lang w:val="en-GB"/>
        </w:rPr>
        <w:t>.</w:t>
      </w:r>
      <w:r w:rsidRPr="00D8050C">
        <w:rPr>
          <w:b/>
          <w:bCs/>
          <w:lang w:val="en-GB"/>
        </w:rPr>
        <w:t xml:space="preserve"> 1. </w:t>
      </w:r>
      <w:r w:rsidR="00936A91" w:rsidRPr="00D8050C">
        <w:rPr>
          <w:b/>
          <w:bCs/>
          <w:lang w:val="en-GB"/>
        </w:rPr>
        <w:t>Ancient</w:t>
      </w:r>
      <w:r w:rsidRPr="00D8050C">
        <w:rPr>
          <w:b/>
          <w:bCs/>
          <w:lang w:val="en-GB"/>
        </w:rPr>
        <w:t xml:space="preserve"> DNA damage patterns for </w:t>
      </w:r>
      <w:r w:rsidR="00936A91" w:rsidRPr="00D8050C">
        <w:rPr>
          <w:b/>
          <w:bCs/>
          <w:lang w:val="en-GB"/>
        </w:rPr>
        <w:t xml:space="preserve">selected </w:t>
      </w:r>
      <w:r w:rsidRPr="00D8050C">
        <w:rPr>
          <w:b/>
          <w:bCs/>
          <w:lang w:val="en-GB"/>
        </w:rPr>
        <w:t>ancient individuals in this study.</w:t>
      </w:r>
      <w:r w:rsidR="002A3362" w:rsidRPr="00D8050C">
        <w:rPr>
          <w:lang w:val="en-GB"/>
        </w:rPr>
        <w:t xml:space="preserve"> </w:t>
      </w:r>
      <w:r w:rsidR="00CB2CDF" w:rsidRPr="00D8050C">
        <w:rPr>
          <w:lang w:val="en-GB"/>
        </w:rPr>
        <w:t>The level of DNA damage is measured by the rate of cytosine deamination-based misincorporation of bases as a function of position on reads. Red and blue lines represent C&gt;T and G&gt;A misincorporations, respectively.</w:t>
      </w:r>
    </w:p>
    <w:p w14:paraId="04F87F20" w14:textId="2E9DFF1C" w:rsidR="00314812" w:rsidRPr="00D8050C" w:rsidRDefault="00314812" w:rsidP="00D8050C">
      <w:pPr>
        <w:spacing w:line="360" w:lineRule="auto"/>
        <w:rPr>
          <w:b/>
          <w:bCs/>
        </w:rPr>
      </w:pPr>
    </w:p>
    <w:p w14:paraId="38ABF59D" w14:textId="77777777" w:rsidR="00F55510" w:rsidRDefault="00314812" w:rsidP="00D8050C">
      <w:pPr>
        <w:spacing w:line="360" w:lineRule="auto"/>
        <w:rPr>
          <w:lang w:val="en-GB"/>
        </w:rPr>
      </w:pPr>
      <w:r w:rsidRPr="00D8050C">
        <w:rPr>
          <w:lang w:val="en-GB"/>
        </w:rPr>
        <w:br w:type="page"/>
      </w:r>
      <w:r w:rsidR="00C33F2D" w:rsidRPr="00D8050C">
        <w:rPr>
          <w:noProof/>
          <w:lang w:val="en-GB"/>
        </w:rPr>
        <w:lastRenderedPageBreak/>
        <w:drawing>
          <wp:inline distT="0" distB="0" distL="0" distR="0" wp14:anchorId="012AFF66" wp14:editId="4831D296">
            <wp:extent cx="5167745" cy="8097371"/>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168978" cy="8099303"/>
                    </a:xfrm>
                    <a:prstGeom prst="rect">
                      <a:avLst/>
                    </a:prstGeom>
                  </pic:spPr>
                </pic:pic>
              </a:graphicData>
            </a:graphic>
          </wp:inline>
        </w:drawing>
      </w:r>
    </w:p>
    <w:p w14:paraId="587B2C7A" w14:textId="76C68367" w:rsidR="00792753" w:rsidRPr="00D8050C" w:rsidRDefault="003B64B5" w:rsidP="00D8050C">
      <w:pPr>
        <w:spacing w:line="360" w:lineRule="auto"/>
        <w:rPr>
          <w:lang w:val="en-GB"/>
        </w:rPr>
      </w:pPr>
      <w:r w:rsidRPr="00D8050C">
        <w:rPr>
          <w:b/>
          <w:bCs/>
          <w:lang w:val="en-GB"/>
        </w:rPr>
        <w:lastRenderedPageBreak/>
        <w:t xml:space="preserve">SI 13 </w:t>
      </w:r>
      <w:r w:rsidR="00C33F2D" w:rsidRPr="00D8050C">
        <w:rPr>
          <w:b/>
          <w:bCs/>
          <w:lang w:val="en-GB"/>
        </w:rPr>
        <w:t>Fig</w:t>
      </w:r>
      <w:r w:rsidRPr="00D8050C">
        <w:rPr>
          <w:b/>
          <w:bCs/>
          <w:lang w:val="en-GB"/>
        </w:rPr>
        <w:t>.</w:t>
      </w:r>
      <w:r w:rsidR="00C33F2D" w:rsidRPr="00D8050C">
        <w:rPr>
          <w:b/>
          <w:bCs/>
          <w:lang w:val="en-GB"/>
        </w:rPr>
        <w:t xml:space="preserve"> 2. PCA constructed from present-day Eurasian populations.</w:t>
      </w:r>
      <w:r w:rsidR="00C33F2D" w:rsidRPr="00D8050C">
        <w:rPr>
          <w:lang w:val="en-GB"/>
        </w:rPr>
        <w:t xml:space="preserve"> Individuals from this study were projected on the top </w:t>
      </w:r>
      <w:r w:rsidR="00936A91" w:rsidRPr="00D8050C">
        <w:rPr>
          <w:lang w:val="en-GB"/>
        </w:rPr>
        <w:t xml:space="preserve">two </w:t>
      </w:r>
      <w:r w:rsidR="00C33F2D" w:rsidRPr="00D8050C">
        <w:rPr>
          <w:lang w:val="en-GB"/>
        </w:rPr>
        <w:t>variation</w:t>
      </w:r>
      <w:r w:rsidR="00936A91" w:rsidRPr="00D8050C">
        <w:rPr>
          <w:lang w:val="en-GB"/>
        </w:rPr>
        <w:t>s</w:t>
      </w:r>
      <w:r w:rsidR="00C33F2D" w:rsidRPr="00D8050C">
        <w:rPr>
          <w:lang w:val="en-GB"/>
        </w:rPr>
        <w:t xml:space="preserve"> of the</w:t>
      </w:r>
      <w:r w:rsidR="00936A91" w:rsidRPr="00D8050C">
        <w:rPr>
          <w:lang w:val="en-GB"/>
        </w:rPr>
        <w:t xml:space="preserve"> </w:t>
      </w:r>
      <w:r w:rsidR="00C33F2D" w:rsidRPr="00D8050C">
        <w:rPr>
          <w:lang w:val="en-GB"/>
        </w:rPr>
        <w:t>PCA</w:t>
      </w:r>
      <w:r w:rsidR="00936A91" w:rsidRPr="00D8050C">
        <w:rPr>
          <w:lang w:val="en-GB"/>
        </w:rPr>
        <w:t xml:space="preserve"> constructed from the modern Eurasian populations</w:t>
      </w:r>
      <w:r w:rsidR="00C33F2D" w:rsidRPr="00D8050C">
        <w:rPr>
          <w:lang w:val="en-GB"/>
        </w:rPr>
        <w:t>.</w:t>
      </w:r>
    </w:p>
    <w:p w14:paraId="31BA2023" w14:textId="0C1F1330" w:rsidR="00C33F2D" w:rsidRPr="00D8050C" w:rsidRDefault="00792753" w:rsidP="00D8050C">
      <w:pPr>
        <w:spacing w:line="360" w:lineRule="auto"/>
        <w:rPr>
          <w:lang w:val="en-GB"/>
        </w:rPr>
      </w:pPr>
      <w:r w:rsidRPr="00D8050C">
        <w:rPr>
          <w:lang w:val="en-GB"/>
        </w:rPr>
        <w:br w:type="page"/>
      </w:r>
    </w:p>
    <w:p w14:paraId="40FA96F7" w14:textId="383B77B2" w:rsidR="00E73924" w:rsidRPr="00D8050C" w:rsidRDefault="00E73924" w:rsidP="00D8050C">
      <w:pPr>
        <w:spacing w:line="360" w:lineRule="auto"/>
        <w:rPr>
          <w:b/>
          <w:bCs/>
          <w:lang w:val="en-GB"/>
        </w:rPr>
      </w:pPr>
      <w:r w:rsidRPr="00D8050C">
        <w:rPr>
          <w:b/>
          <w:bCs/>
          <w:noProof/>
          <w:lang w:val="en-GB"/>
        </w:rPr>
        <w:lastRenderedPageBreak/>
        <w:drawing>
          <wp:inline distT="0" distB="0" distL="0" distR="0" wp14:anchorId="5C6BC300" wp14:editId="7C590364">
            <wp:extent cx="5731510" cy="5904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904230"/>
                    </a:xfrm>
                    <a:prstGeom prst="rect">
                      <a:avLst/>
                    </a:prstGeom>
                  </pic:spPr>
                </pic:pic>
              </a:graphicData>
            </a:graphic>
          </wp:inline>
        </w:drawing>
      </w:r>
    </w:p>
    <w:p w14:paraId="508E05D3" w14:textId="77777777" w:rsidR="00F55510" w:rsidRDefault="00F55510" w:rsidP="00D8050C">
      <w:pPr>
        <w:spacing w:line="360" w:lineRule="auto"/>
        <w:rPr>
          <w:b/>
          <w:bCs/>
          <w:lang w:val="en-GB"/>
        </w:rPr>
      </w:pPr>
    </w:p>
    <w:p w14:paraId="4AD7DE0C" w14:textId="5E49CEC3" w:rsidR="00A770B8" w:rsidRPr="00D8050C" w:rsidRDefault="00004819" w:rsidP="00D8050C">
      <w:pPr>
        <w:spacing w:line="360" w:lineRule="auto"/>
        <w:rPr>
          <w:lang w:val="en-GB"/>
        </w:rPr>
      </w:pPr>
      <w:r w:rsidRPr="00D8050C">
        <w:rPr>
          <w:b/>
          <w:bCs/>
          <w:lang w:val="en-GB"/>
        </w:rPr>
        <w:t xml:space="preserve">SI 13 </w:t>
      </w:r>
      <w:r w:rsidR="00792753" w:rsidRPr="00D8050C">
        <w:rPr>
          <w:b/>
          <w:bCs/>
          <w:lang w:val="en-GB"/>
        </w:rPr>
        <w:t>Fig</w:t>
      </w:r>
      <w:r w:rsidRPr="00D8050C">
        <w:rPr>
          <w:b/>
          <w:bCs/>
          <w:lang w:val="en-GB"/>
        </w:rPr>
        <w:t xml:space="preserve">. </w:t>
      </w:r>
      <w:r w:rsidR="00792753" w:rsidRPr="00D8050C">
        <w:rPr>
          <w:b/>
          <w:bCs/>
          <w:lang w:val="en-GB"/>
        </w:rPr>
        <w:t xml:space="preserve">3. </w:t>
      </w:r>
      <w:r w:rsidR="00BB6F09" w:rsidRPr="00D8050C">
        <w:rPr>
          <w:b/>
          <w:bCs/>
          <w:lang w:val="en-GB"/>
        </w:rPr>
        <w:t xml:space="preserve">Close genetic affinity of ancient Korean and Japanese populations to the </w:t>
      </w:r>
      <w:r w:rsidR="00BB6F09" w:rsidRPr="00D8050C">
        <w:rPr>
          <w:b/>
          <w:bCs/>
          <w:color w:val="000000" w:themeColor="text1"/>
          <w:lang w:val="en-GB"/>
        </w:rPr>
        <w:t xml:space="preserve">Jōmon-related populations </w:t>
      </w:r>
      <w:r w:rsidR="006F263F" w:rsidRPr="00D8050C">
        <w:rPr>
          <w:b/>
          <w:bCs/>
          <w:color w:val="000000" w:themeColor="text1"/>
          <w:lang w:val="en-GB"/>
        </w:rPr>
        <w:t xml:space="preserve">from Japan </w:t>
      </w:r>
      <w:r w:rsidR="00BB6F09" w:rsidRPr="00D8050C">
        <w:rPr>
          <w:b/>
          <w:bCs/>
          <w:color w:val="000000" w:themeColor="text1"/>
          <w:lang w:val="en-GB"/>
        </w:rPr>
        <w:t xml:space="preserve">and ancient populations from China. </w:t>
      </w:r>
      <w:r w:rsidR="00BB6F09" w:rsidRPr="00D8050C">
        <w:rPr>
          <w:color w:val="000000" w:themeColor="text1"/>
          <w:lang w:val="en-GB"/>
        </w:rPr>
        <w:t>We present the top 20 outgroup-</w:t>
      </w:r>
      <w:r w:rsidR="00BB6F09" w:rsidRPr="00D8050C">
        <w:rPr>
          <w:i/>
          <w:iCs/>
          <w:color w:val="000000" w:themeColor="text1"/>
          <w:lang w:val="en-GB"/>
        </w:rPr>
        <w:t>f</w:t>
      </w:r>
      <w:r w:rsidR="00BB6F09" w:rsidRPr="00D8050C">
        <w:rPr>
          <w:color w:val="000000" w:themeColor="text1"/>
          <w:lang w:val="en-GB"/>
        </w:rPr>
        <w:t xml:space="preserve">3 signals for each population among the 174 non-sub-Saharan African populations. Horizontal bars represent the point estimate </w:t>
      </w:r>
      <w:r w:rsidR="00BB6F09" w:rsidRPr="00D8050C">
        <w:rPr>
          <w:color w:val="000000" w:themeColor="text1"/>
          <w:lang w:val="en-GB"/>
        </w:rPr>
        <w:sym w:font="Symbol" w:char="F0B1"/>
      </w:r>
      <w:r w:rsidR="00BB6F09" w:rsidRPr="00D8050C">
        <w:rPr>
          <w:color w:val="000000" w:themeColor="text1"/>
          <w:lang w:val="en-GB"/>
        </w:rPr>
        <w:t xml:space="preserve"> 1 s.e.m, respectively. s.e.m. are estimated using 5cM block jackknifing.</w:t>
      </w:r>
    </w:p>
    <w:p w14:paraId="7A318024" w14:textId="66FC555F" w:rsidR="00A770B8" w:rsidRPr="00D8050C" w:rsidRDefault="00A770B8" w:rsidP="00D8050C">
      <w:pPr>
        <w:spacing w:line="360" w:lineRule="auto"/>
        <w:rPr>
          <w:lang w:val="en-GB"/>
        </w:rPr>
      </w:pPr>
      <w:r w:rsidRPr="00D8050C">
        <w:rPr>
          <w:lang w:val="en-GB"/>
        </w:rPr>
        <w:br w:type="page"/>
      </w:r>
    </w:p>
    <w:p w14:paraId="07F7D255" w14:textId="0DC329DF" w:rsidR="00D74B4C" w:rsidRPr="00D8050C" w:rsidRDefault="00846213" w:rsidP="00D8050C">
      <w:pPr>
        <w:spacing w:line="360" w:lineRule="auto"/>
        <w:rPr>
          <w:b/>
          <w:bCs/>
          <w:lang w:val="en-GB"/>
        </w:rPr>
      </w:pPr>
      <w:r w:rsidRPr="00D8050C">
        <w:rPr>
          <w:b/>
          <w:bCs/>
          <w:noProof/>
          <w:lang w:val="en-GB"/>
        </w:rPr>
        <w:lastRenderedPageBreak/>
        <w:drawing>
          <wp:inline distT="0" distB="0" distL="0" distR="0" wp14:anchorId="132A0DD5" wp14:editId="0BE33107">
            <wp:extent cx="5731510" cy="2482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31510" cy="2482215"/>
                    </a:xfrm>
                    <a:prstGeom prst="rect">
                      <a:avLst/>
                    </a:prstGeom>
                  </pic:spPr>
                </pic:pic>
              </a:graphicData>
            </a:graphic>
          </wp:inline>
        </w:drawing>
      </w:r>
    </w:p>
    <w:p w14:paraId="246D3795" w14:textId="11637A0D" w:rsidR="00A770B8" w:rsidRPr="00D8050C" w:rsidRDefault="00004819" w:rsidP="00D8050C">
      <w:pPr>
        <w:spacing w:line="360" w:lineRule="auto"/>
        <w:rPr>
          <w:lang w:val="en-GB"/>
        </w:rPr>
      </w:pPr>
      <w:r w:rsidRPr="00D8050C">
        <w:rPr>
          <w:b/>
          <w:bCs/>
          <w:lang w:val="en-GB"/>
        </w:rPr>
        <w:t xml:space="preserve">SI 13 </w:t>
      </w:r>
      <w:r w:rsidR="00A770B8" w:rsidRPr="00D8050C">
        <w:rPr>
          <w:b/>
          <w:bCs/>
          <w:lang w:val="en-GB"/>
        </w:rPr>
        <w:t>Fig</w:t>
      </w:r>
      <w:r w:rsidRPr="00D8050C">
        <w:rPr>
          <w:b/>
          <w:bCs/>
          <w:lang w:val="en-GB"/>
        </w:rPr>
        <w:t xml:space="preserve">. </w:t>
      </w:r>
      <w:r w:rsidR="00A770B8" w:rsidRPr="00D8050C">
        <w:rPr>
          <w:b/>
          <w:bCs/>
          <w:lang w:val="en-GB"/>
        </w:rPr>
        <w:t>4</w:t>
      </w:r>
      <w:r w:rsidR="00A770B8" w:rsidRPr="00D8050C">
        <w:rPr>
          <w:lang w:val="en-GB"/>
        </w:rPr>
        <w:t xml:space="preserve">. </w:t>
      </w:r>
      <w:r w:rsidR="00846213" w:rsidRPr="00D8050C">
        <w:rPr>
          <w:b/>
          <w:bCs/>
          <w:lang w:val="en-GB"/>
        </w:rPr>
        <w:t xml:space="preserve">Close genetic affinity between </w:t>
      </w:r>
      <w:r w:rsidR="00846213" w:rsidRPr="00D8050C">
        <w:rPr>
          <w:b/>
          <w:bCs/>
          <w:color w:val="000000" w:themeColor="text1"/>
          <w:lang w:val="en-GB"/>
        </w:rPr>
        <w:t>Jōmon</w:t>
      </w:r>
      <w:r w:rsidR="00846213" w:rsidRPr="00D8050C">
        <w:rPr>
          <w:b/>
          <w:bCs/>
          <w:lang w:val="en-GB"/>
        </w:rPr>
        <w:t xml:space="preserve"> individuals</w:t>
      </w:r>
      <w:r w:rsidR="00846213" w:rsidRPr="00D8050C">
        <w:rPr>
          <w:b/>
          <w:bCs/>
          <w:color w:val="000000" w:themeColor="text1"/>
          <w:lang w:val="en-GB"/>
        </w:rPr>
        <w:t xml:space="preserve">. </w:t>
      </w:r>
      <w:r w:rsidR="00846213" w:rsidRPr="00D8050C">
        <w:rPr>
          <w:color w:val="000000" w:themeColor="text1"/>
          <w:lang w:val="en-GB"/>
        </w:rPr>
        <w:t>We present the top 20 outgroup-</w:t>
      </w:r>
      <w:r w:rsidR="00846213" w:rsidRPr="00D8050C">
        <w:rPr>
          <w:i/>
          <w:iCs/>
          <w:color w:val="000000" w:themeColor="text1"/>
          <w:lang w:val="en-GB"/>
        </w:rPr>
        <w:t>f</w:t>
      </w:r>
      <w:r w:rsidR="00846213" w:rsidRPr="00D8050C">
        <w:rPr>
          <w:color w:val="000000" w:themeColor="text1"/>
          <w:lang w:val="en-GB"/>
        </w:rPr>
        <w:t xml:space="preserve">3 signals for each population among the 174 non-sub-Saharan African populations. Horizontal bars represent the point estimate </w:t>
      </w:r>
      <w:r w:rsidR="00846213" w:rsidRPr="00D8050C">
        <w:rPr>
          <w:color w:val="000000" w:themeColor="text1"/>
          <w:lang w:val="en-GB"/>
        </w:rPr>
        <w:sym w:font="Symbol" w:char="F0B1"/>
      </w:r>
      <w:r w:rsidR="00846213" w:rsidRPr="00D8050C">
        <w:rPr>
          <w:color w:val="000000" w:themeColor="text1"/>
          <w:lang w:val="en-GB"/>
        </w:rPr>
        <w:t xml:space="preserve"> 1 s.e.m, respectively. s.e.m. are estimated using 5cM block jackknifing.</w:t>
      </w:r>
    </w:p>
    <w:p w14:paraId="71D1FCFB" w14:textId="77777777" w:rsidR="00A770B8" w:rsidRPr="00D8050C" w:rsidRDefault="00A770B8" w:rsidP="00D8050C">
      <w:pPr>
        <w:spacing w:line="360" w:lineRule="auto"/>
        <w:rPr>
          <w:lang w:val="en-GB"/>
        </w:rPr>
      </w:pPr>
      <w:r w:rsidRPr="00D8050C">
        <w:rPr>
          <w:lang w:val="en-GB"/>
        </w:rPr>
        <w:br w:type="page"/>
      </w:r>
    </w:p>
    <w:p w14:paraId="17FBAFB6" w14:textId="19C6B05C" w:rsidR="00846213" w:rsidRPr="00D8050C" w:rsidRDefault="007A4401" w:rsidP="00D8050C">
      <w:pPr>
        <w:spacing w:line="360" w:lineRule="auto"/>
        <w:rPr>
          <w:b/>
          <w:bCs/>
          <w:lang w:val="en-GB"/>
        </w:rPr>
      </w:pPr>
      <w:r w:rsidRPr="00D8050C">
        <w:rPr>
          <w:b/>
          <w:bCs/>
          <w:noProof/>
          <w:lang w:val="en-GB"/>
        </w:rPr>
        <w:lastRenderedPageBreak/>
        <w:drawing>
          <wp:inline distT="0" distB="0" distL="0" distR="0" wp14:anchorId="76687C08" wp14:editId="5F14550D">
            <wp:extent cx="5731510" cy="2670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2670810"/>
                    </a:xfrm>
                    <a:prstGeom prst="rect">
                      <a:avLst/>
                    </a:prstGeom>
                  </pic:spPr>
                </pic:pic>
              </a:graphicData>
            </a:graphic>
          </wp:inline>
        </w:drawing>
      </w:r>
    </w:p>
    <w:p w14:paraId="7D70CDB2" w14:textId="79FD918D" w:rsidR="004F4E72" w:rsidRPr="00D8050C" w:rsidRDefault="00004819" w:rsidP="00D8050C">
      <w:pPr>
        <w:pStyle w:val="NormalWeb"/>
        <w:spacing w:before="0" w:beforeAutospacing="0" w:after="0" w:afterAutospacing="0" w:line="360" w:lineRule="auto"/>
      </w:pPr>
      <w:r w:rsidRPr="00D8050C">
        <w:rPr>
          <w:b/>
          <w:bCs/>
          <w:lang w:val="en-GB"/>
        </w:rPr>
        <w:t xml:space="preserve">SI 13 </w:t>
      </w:r>
      <w:r w:rsidR="00140454" w:rsidRPr="00D8050C">
        <w:rPr>
          <w:b/>
          <w:bCs/>
          <w:lang w:val="en-GB"/>
        </w:rPr>
        <w:t>Fig</w:t>
      </w:r>
      <w:r w:rsidRPr="00D8050C">
        <w:rPr>
          <w:b/>
          <w:bCs/>
          <w:lang w:val="en-GB"/>
        </w:rPr>
        <w:t xml:space="preserve">. </w:t>
      </w:r>
      <w:r w:rsidR="00140454" w:rsidRPr="00D8050C">
        <w:rPr>
          <w:b/>
          <w:bCs/>
          <w:lang w:val="en-GB"/>
        </w:rPr>
        <w:t xml:space="preserve">5. </w:t>
      </w:r>
      <w:r w:rsidR="00CD499A" w:rsidRPr="00D8050C">
        <w:rPr>
          <w:b/>
          <w:bCs/>
          <w:lang w:val="en-GB"/>
        </w:rPr>
        <w:t xml:space="preserve">Cladality of </w:t>
      </w:r>
      <w:r w:rsidR="00CD499A" w:rsidRPr="00D8050C">
        <w:rPr>
          <w:b/>
          <w:bCs/>
          <w:color w:val="000000" w:themeColor="text1"/>
          <w:lang w:val="en-GB"/>
        </w:rPr>
        <w:t>Jōmon</w:t>
      </w:r>
      <w:r w:rsidR="00CD499A" w:rsidRPr="00D8050C">
        <w:rPr>
          <w:b/>
          <w:bCs/>
          <w:lang w:val="en-GB"/>
        </w:rPr>
        <w:t xml:space="preserve"> individuals with respect to other modern and ancient Eurasian populations.  </w:t>
      </w:r>
      <w:r w:rsidR="00CD499A" w:rsidRPr="00D8050C">
        <w:t xml:space="preserve">We present 15 most positive (upper side) and 15 most negative (lower side) </w:t>
      </w:r>
      <w:r w:rsidR="00CD499A" w:rsidRPr="00D8050C">
        <w:rPr>
          <w:i/>
          <w:iCs/>
        </w:rPr>
        <w:t>f4</w:t>
      </w:r>
      <w:r w:rsidR="00CD499A" w:rsidRPr="00D8050C">
        <w:t>(</w:t>
      </w:r>
      <w:r w:rsidR="00CD499A" w:rsidRPr="00D8050C">
        <w:rPr>
          <w:color w:val="000000" w:themeColor="text1"/>
          <w:lang w:val="en-GB"/>
        </w:rPr>
        <w:t>Jōmon1</w:t>
      </w:r>
      <w:r w:rsidR="00CD499A" w:rsidRPr="00D8050C">
        <w:t xml:space="preserve">, </w:t>
      </w:r>
      <w:r w:rsidR="00CD499A" w:rsidRPr="00D8050C">
        <w:rPr>
          <w:lang w:val="en-US"/>
        </w:rPr>
        <w:t>X</w:t>
      </w:r>
      <w:r w:rsidR="00CD499A" w:rsidRPr="00D8050C">
        <w:t xml:space="preserve">; </w:t>
      </w:r>
      <w:r w:rsidR="00CD499A" w:rsidRPr="00D8050C">
        <w:rPr>
          <w:color w:val="000000" w:themeColor="text1"/>
          <w:lang w:val="en-GB"/>
        </w:rPr>
        <w:t>Jōmon2</w:t>
      </w:r>
      <w:r w:rsidR="00CD499A" w:rsidRPr="00D8050C">
        <w:t xml:space="preserve">, Mbuti) statistics across </w:t>
      </w:r>
      <w:r w:rsidR="00CD499A" w:rsidRPr="00D8050C">
        <w:rPr>
          <w:lang w:val="en-US"/>
        </w:rPr>
        <w:t>174</w:t>
      </w:r>
      <w:r w:rsidR="00CD499A" w:rsidRPr="00D8050C">
        <w:t xml:space="preserve"> world-wide populations. Horizontal bars represent the point estimate ± 3 (thin) and ± 1 (thick) s.e.m, respectively. s.e.m. are estimated using 5 cM block jackknifing.</w:t>
      </w:r>
    </w:p>
    <w:p w14:paraId="18E4DD47" w14:textId="451C9B3F" w:rsidR="00FF5208" w:rsidRPr="00D8050C" w:rsidRDefault="005A4688" w:rsidP="00D8050C">
      <w:pPr>
        <w:spacing w:line="360" w:lineRule="auto"/>
        <w:rPr>
          <w:b/>
          <w:bCs/>
          <w:lang w:val="en-GB"/>
        </w:rPr>
      </w:pPr>
      <w:r w:rsidRPr="00D8050C">
        <w:rPr>
          <w:b/>
          <w:bCs/>
          <w:lang w:val="en-GB"/>
        </w:rPr>
        <w:br w:type="page"/>
      </w:r>
    </w:p>
    <w:p w14:paraId="42625982" w14:textId="77777777" w:rsidR="00FF5208" w:rsidRPr="00D8050C" w:rsidRDefault="00FF5208" w:rsidP="00D8050C">
      <w:pPr>
        <w:spacing w:line="360" w:lineRule="auto"/>
        <w:rPr>
          <w:b/>
          <w:bCs/>
          <w:lang w:val="en-GB"/>
        </w:rPr>
      </w:pPr>
      <w:r w:rsidRPr="00D8050C">
        <w:rPr>
          <w:b/>
          <w:bCs/>
          <w:noProof/>
          <w:lang w:val="en-GB"/>
        </w:rPr>
        <w:lastRenderedPageBreak/>
        <w:drawing>
          <wp:inline distT="0" distB="0" distL="0" distR="0" wp14:anchorId="6392140C" wp14:editId="4011FEC3">
            <wp:extent cx="5731510" cy="5885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5885180"/>
                    </a:xfrm>
                    <a:prstGeom prst="rect">
                      <a:avLst/>
                    </a:prstGeom>
                  </pic:spPr>
                </pic:pic>
              </a:graphicData>
            </a:graphic>
          </wp:inline>
        </w:drawing>
      </w:r>
    </w:p>
    <w:p w14:paraId="73123075" w14:textId="32042640" w:rsidR="00FF5208" w:rsidRPr="00D8050C" w:rsidRDefault="00FF5208" w:rsidP="00D8050C">
      <w:pPr>
        <w:spacing w:line="360" w:lineRule="auto"/>
        <w:rPr>
          <w:lang w:val="en-GB"/>
        </w:rPr>
      </w:pPr>
      <w:r w:rsidRPr="00D8050C">
        <w:rPr>
          <w:b/>
          <w:bCs/>
          <w:lang w:val="en-GB"/>
        </w:rPr>
        <w:t xml:space="preserve">SI 13 Fig. 6. </w:t>
      </w:r>
      <w:r w:rsidR="006F263F" w:rsidRPr="00D8050C">
        <w:rPr>
          <w:b/>
          <w:bCs/>
          <w:lang w:val="en-GB"/>
        </w:rPr>
        <w:t>G</w:t>
      </w:r>
      <w:r w:rsidRPr="00D8050C">
        <w:rPr>
          <w:b/>
          <w:bCs/>
          <w:lang w:val="en-GB"/>
        </w:rPr>
        <w:t>enetic affinity of</w:t>
      </w:r>
      <w:r w:rsidR="006F263F" w:rsidRPr="00D8050C">
        <w:rPr>
          <w:b/>
          <w:bCs/>
          <w:lang w:val="en-GB"/>
        </w:rPr>
        <w:t xml:space="preserve"> Yayoi individuals and modern Ryukyuans from Japan</w:t>
      </w:r>
      <w:r w:rsidRPr="00D8050C">
        <w:rPr>
          <w:b/>
          <w:bCs/>
          <w:color w:val="000000" w:themeColor="text1"/>
          <w:lang w:val="en-GB"/>
        </w:rPr>
        <w:t xml:space="preserve">. </w:t>
      </w:r>
      <w:r w:rsidRPr="00D8050C">
        <w:rPr>
          <w:color w:val="000000" w:themeColor="text1"/>
          <w:lang w:val="en-GB"/>
        </w:rPr>
        <w:t>We present the top 20 outgroup-</w:t>
      </w:r>
      <w:r w:rsidRPr="00D8050C">
        <w:rPr>
          <w:i/>
          <w:iCs/>
          <w:color w:val="000000" w:themeColor="text1"/>
          <w:lang w:val="en-GB"/>
        </w:rPr>
        <w:t>f</w:t>
      </w:r>
      <w:r w:rsidRPr="00D8050C">
        <w:rPr>
          <w:color w:val="000000" w:themeColor="text1"/>
          <w:lang w:val="en-GB"/>
        </w:rPr>
        <w:t xml:space="preserve">3 signals for </w:t>
      </w:r>
      <w:r w:rsidR="006F263F" w:rsidRPr="00D8050C">
        <w:rPr>
          <w:color w:val="000000" w:themeColor="text1"/>
          <w:lang w:val="en-GB"/>
        </w:rPr>
        <w:t>the Yayoi</w:t>
      </w:r>
      <w:r w:rsidRPr="00D8050C">
        <w:rPr>
          <w:color w:val="000000" w:themeColor="text1"/>
          <w:lang w:val="en-GB"/>
        </w:rPr>
        <w:t xml:space="preserve"> population</w:t>
      </w:r>
      <w:r w:rsidR="006F263F" w:rsidRPr="00D8050C">
        <w:rPr>
          <w:color w:val="000000" w:themeColor="text1"/>
          <w:lang w:val="en-GB"/>
        </w:rPr>
        <w:t>s</w:t>
      </w:r>
      <w:r w:rsidRPr="00D8050C">
        <w:rPr>
          <w:color w:val="000000" w:themeColor="text1"/>
          <w:lang w:val="en-GB"/>
        </w:rPr>
        <w:t xml:space="preserve"> among the 174 non-sub-Saharan African populations</w:t>
      </w:r>
      <w:r w:rsidR="006F263F" w:rsidRPr="00D8050C">
        <w:rPr>
          <w:color w:val="000000" w:themeColor="text1"/>
          <w:lang w:val="en-GB"/>
        </w:rPr>
        <w:t xml:space="preserve"> in the ‘1240k’</w:t>
      </w:r>
      <w:r w:rsidR="00D67EF8" w:rsidRPr="00D8050C">
        <w:rPr>
          <w:color w:val="000000" w:themeColor="text1"/>
          <w:lang w:val="en-GB"/>
        </w:rPr>
        <w:t xml:space="preserve"> panel</w:t>
      </w:r>
      <w:r w:rsidR="006F263F" w:rsidRPr="00D8050C">
        <w:rPr>
          <w:color w:val="000000" w:themeColor="text1"/>
          <w:lang w:val="en-GB"/>
        </w:rPr>
        <w:t>. Outgroup-</w:t>
      </w:r>
      <w:r w:rsidR="006F263F" w:rsidRPr="00D8050C">
        <w:rPr>
          <w:i/>
          <w:iCs/>
          <w:color w:val="000000" w:themeColor="text1"/>
          <w:lang w:val="en-GB"/>
        </w:rPr>
        <w:t>f</w:t>
      </w:r>
      <w:r w:rsidR="006F263F" w:rsidRPr="00D8050C">
        <w:rPr>
          <w:color w:val="000000" w:themeColor="text1"/>
          <w:lang w:val="en-GB"/>
        </w:rPr>
        <w:t xml:space="preserve">3 signals for modern mainland Japanese and Korean as well as populations from Ryukyu islands such as Miyako, Yaeyama and Okinawa were estimated from </w:t>
      </w:r>
      <w:r w:rsidR="00D67EF8" w:rsidRPr="00D8050C">
        <w:rPr>
          <w:color w:val="000000" w:themeColor="text1"/>
          <w:lang w:val="en-GB"/>
        </w:rPr>
        <w:t>‘1240k-Illumina’ panel</w:t>
      </w:r>
      <w:r w:rsidRPr="00D8050C">
        <w:rPr>
          <w:color w:val="000000" w:themeColor="text1"/>
          <w:lang w:val="en-GB"/>
        </w:rPr>
        <w:t xml:space="preserve">. Horizontal bars represent the point estimate </w:t>
      </w:r>
      <w:r w:rsidRPr="00D8050C">
        <w:rPr>
          <w:color w:val="000000" w:themeColor="text1"/>
          <w:lang w:val="en-GB"/>
        </w:rPr>
        <w:sym w:font="Symbol" w:char="F0B1"/>
      </w:r>
      <w:r w:rsidRPr="00D8050C">
        <w:rPr>
          <w:color w:val="000000" w:themeColor="text1"/>
          <w:lang w:val="en-GB"/>
        </w:rPr>
        <w:t xml:space="preserve"> 1 s.e.m, respectively. s.e.m. are estimated using 5cM block jackknifing.</w:t>
      </w:r>
    </w:p>
    <w:p w14:paraId="0CCEFAB0" w14:textId="77777777" w:rsidR="00CE26AA" w:rsidRPr="00D8050C" w:rsidRDefault="00CE26AA" w:rsidP="00D8050C">
      <w:pPr>
        <w:spacing w:line="360" w:lineRule="auto"/>
        <w:rPr>
          <w:b/>
          <w:bCs/>
          <w:lang w:val="en-GB"/>
        </w:rPr>
      </w:pPr>
    </w:p>
    <w:p w14:paraId="28F85C63" w14:textId="77777777" w:rsidR="00CE26AA" w:rsidRPr="00D8050C" w:rsidRDefault="00CE26AA" w:rsidP="00D8050C">
      <w:pPr>
        <w:spacing w:line="360" w:lineRule="auto"/>
        <w:rPr>
          <w:b/>
          <w:bCs/>
          <w:lang w:val="en-GB"/>
        </w:rPr>
      </w:pPr>
      <w:r w:rsidRPr="00D8050C">
        <w:rPr>
          <w:b/>
          <w:bCs/>
          <w:lang w:val="en-GB"/>
        </w:rPr>
        <w:br w:type="page"/>
      </w:r>
    </w:p>
    <w:p w14:paraId="665EFD67" w14:textId="77777777" w:rsidR="00CE26AA" w:rsidRPr="00D8050C" w:rsidRDefault="00CE26AA" w:rsidP="00D8050C">
      <w:pPr>
        <w:spacing w:line="360" w:lineRule="auto"/>
        <w:rPr>
          <w:b/>
          <w:bCs/>
          <w:lang w:val="en-GB"/>
        </w:rPr>
      </w:pPr>
      <w:r w:rsidRPr="00D8050C">
        <w:rPr>
          <w:b/>
          <w:bCs/>
          <w:noProof/>
          <w:lang w:val="en-GB"/>
        </w:rPr>
        <w:lastRenderedPageBreak/>
        <w:drawing>
          <wp:inline distT="0" distB="0" distL="0" distR="0" wp14:anchorId="1C9E4FF1" wp14:editId="044973E6">
            <wp:extent cx="4318000" cy="431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4318000" cy="4318000"/>
                    </a:xfrm>
                    <a:prstGeom prst="rect">
                      <a:avLst/>
                    </a:prstGeom>
                  </pic:spPr>
                </pic:pic>
              </a:graphicData>
            </a:graphic>
          </wp:inline>
        </w:drawing>
      </w:r>
    </w:p>
    <w:p w14:paraId="5E4C892C" w14:textId="54D440A4" w:rsidR="00CE26AA" w:rsidRPr="00D8050C" w:rsidRDefault="006E52F9" w:rsidP="00D8050C">
      <w:pPr>
        <w:spacing w:line="360" w:lineRule="auto"/>
        <w:rPr>
          <w:b/>
          <w:bCs/>
          <w:lang w:val="en-US"/>
        </w:rPr>
      </w:pPr>
      <w:r w:rsidRPr="00D8050C">
        <w:rPr>
          <w:b/>
          <w:bCs/>
          <w:lang w:val="en-GB"/>
        </w:rPr>
        <w:t xml:space="preserve">SI 13 Fig. </w:t>
      </w:r>
      <w:r w:rsidR="00531696" w:rsidRPr="00D8050C">
        <w:rPr>
          <w:b/>
          <w:bCs/>
          <w:lang w:val="en-GB"/>
        </w:rPr>
        <w:t>7</w:t>
      </w:r>
      <w:r w:rsidRPr="00D8050C">
        <w:rPr>
          <w:b/>
          <w:bCs/>
          <w:lang w:val="en-GB"/>
        </w:rPr>
        <w:t xml:space="preserve">. </w:t>
      </w:r>
      <w:r w:rsidR="00CE26AA" w:rsidRPr="00D8050C">
        <w:rPr>
          <w:b/>
          <w:bCs/>
        </w:rPr>
        <w:t xml:space="preserve">The genetic difference between </w:t>
      </w:r>
      <w:r w:rsidR="00CE26AA" w:rsidRPr="00D8050C">
        <w:rPr>
          <w:b/>
          <w:bCs/>
          <w:lang w:val="en-US"/>
        </w:rPr>
        <w:t>Early</w:t>
      </w:r>
      <w:r w:rsidR="00CE26AA" w:rsidRPr="00D8050C">
        <w:rPr>
          <w:b/>
          <w:bCs/>
        </w:rPr>
        <w:t xml:space="preserve"> and Late </w:t>
      </w:r>
      <w:r w:rsidR="00CE26AA" w:rsidRPr="00D8050C">
        <w:rPr>
          <w:b/>
          <w:bCs/>
          <w:lang w:val="en-US"/>
        </w:rPr>
        <w:t>Nagabaka</w:t>
      </w:r>
      <w:r w:rsidR="00CE26AA" w:rsidRPr="00D8050C">
        <w:rPr>
          <w:b/>
          <w:bCs/>
        </w:rPr>
        <w:t xml:space="preserve"> </w:t>
      </w:r>
      <w:r w:rsidR="00CE26AA" w:rsidRPr="00D8050C">
        <w:rPr>
          <w:b/>
          <w:bCs/>
          <w:lang w:val="en-US"/>
        </w:rPr>
        <w:t>individual</w:t>
      </w:r>
      <w:r w:rsidR="00CE26AA" w:rsidRPr="00D8050C">
        <w:rPr>
          <w:b/>
          <w:bCs/>
        </w:rPr>
        <w:t xml:space="preserve">s from </w:t>
      </w:r>
      <w:r w:rsidR="00CE26AA" w:rsidRPr="00D8050C">
        <w:rPr>
          <w:b/>
          <w:bCs/>
          <w:lang w:val="en-US"/>
        </w:rPr>
        <w:t>Miyako island</w:t>
      </w:r>
      <w:r w:rsidR="00CE26AA" w:rsidRPr="00D8050C">
        <w:rPr>
          <w:b/>
          <w:bCs/>
        </w:rPr>
        <w:t xml:space="preserve">. </w:t>
      </w:r>
      <w:r w:rsidR="00CE26AA" w:rsidRPr="00D8050C">
        <w:t xml:space="preserve">We present 15 most positive (upper side) and 15 most negative (lower side) </w:t>
      </w:r>
      <w:r w:rsidR="00CE26AA" w:rsidRPr="00D8050C">
        <w:rPr>
          <w:i/>
          <w:iCs/>
        </w:rPr>
        <w:t>f4</w:t>
      </w:r>
      <w:r w:rsidR="00CE26AA" w:rsidRPr="00D8050C">
        <w:t>(</w:t>
      </w:r>
      <w:r w:rsidR="00CE26AA" w:rsidRPr="00D8050C">
        <w:rPr>
          <w:lang w:val="en-US"/>
        </w:rPr>
        <w:t>Mbuti,</w:t>
      </w:r>
      <w:r w:rsidR="00CE26AA" w:rsidRPr="00D8050C">
        <w:t xml:space="preserve"> </w:t>
      </w:r>
      <w:r w:rsidR="00CE26AA" w:rsidRPr="00D8050C">
        <w:rPr>
          <w:lang w:val="en-US"/>
        </w:rPr>
        <w:t>X</w:t>
      </w:r>
      <w:r w:rsidR="00CE26AA" w:rsidRPr="00D8050C">
        <w:t xml:space="preserve">; </w:t>
      </w:r>
      <w:r w:rsidR="00CE26AA" w:rsidRPr="00D8050C">
        <w:rPr>
          <w:lang w:val="en-US"/>
        </w:rPr>
        <w:t>Nagabaka_early</w:t>
      </w:r>
      <w:r w:rsidR="00CE26AA" w:rsidRPr="00D8050C">
        <w:t xml:space="preserve">, </w:t>
      </w:r>
      <w:r w:rsidR="00CE26AA" w:rsidRPr="00D8050C">
        <w:rPr>
          <w:lang w:val="en-US"/>
        </w:rPr>
        <w:t>Nagabaka_late</w:t>
      </w:r>
      <w:r w:rsidR="00CE26AA" w:rsidRPr="00D8050C">
        <w:t xml:space="preserve">) statistics across </w:t>
      </w:r>
      <w:r w:rsidR="00CE26AA" w:rsidRPr="00D8050C">
        <w:rPr>
          <w:lang w:val="en-US"/>
        </w:rPr>
        <w:t>174</w:t>
      </w:r>
      <w:r w:rsidR="00CE26AA" w:rsidRPr="00D8050C">
        <w:t xml:space="preserve"> world-wide populations. Horizontal bars represent the point estimate ± 3 (thin) and ± 1 (thick) s.e.m, respectivley. s.e.m. are estimated using 5 cM block jackknifing. </w:t>
      </w:r>
      <w:r w:rsidR="00CE26AA" w:rsidRPr="00D8050C">
        <w:rPr>
          <w:i/>
          <w:iCs/>
        </w:rPr>
        <w:t xml:space="preserve">F4 </w:t>
      </w:r>
      <w:r w:rsidR="00CE26AA" w:rsidRPr="00D8050C">
        <w:t xml:space="preserve">statistics deviating three s.e.m. or more from zero are marked in </w:t>
      </w:r>
      <w:r w:rsidR="00CE26AA" w:rsidRPr="00D8050C">
        <w:rPr>
          <w:lang w:val="en-US"/>
        </w:rPr>
        <w:t>red</w:t>
      </w:r>
      <w:r w:rsidR="00CE26AA" w:rsidRPr="00D8050C">
        <w:t xml:space="preserve">. </w:t>
      </w:r>
      <w:r w:rsidR="00CE26AA" w:rsidRPr="00D8050C">
        <w:rPr>
          <w:lang w:val="en-US"/>
        </w:rPr>
        <w:t>No s</w:t>
      </w:r>
      <w:r w:rsidR="00CE26AA" w:rsidRPr="00D8050C">
        <w:t xml:space="preserve">ignificant positive </w:t>
      </w:r>
      <w:r w:rsidR="00CE26AA" w:rsidRPr="00D8050C">
        <w:rPr>
          <w:lang w:val="en-US"/>
        </w:rPr>
        <w:t xml:space="preserve">or negative </w:t>
      </w:r>
      <w:r w:rsidR="00CE26AA" w:rsidRPr="00D8050C">
        <w:t>statistics are shown</w:t>
      </w:r>
      <w:r w:rsidR="00CE26AA" w:rsidRPr="00D8050C">
        <w:rPr>
          <w:lang w:val="en-US"/>
        </w:rPr>
        <w:t>, suggesting a general cladality of between the early and late phase of Nagabaka populations.</w:t>
      </w:r>
    </w:p>
    <w:p w14:paraId="757C9A52" w14:textId="1E993350" w:rsidR="00372EE3" w:rsidRPr="00D8050C" w:rsidRDefault="00FF5208" w:rsidP="00D8050C">
      <w:pPr>
        <w:spacing w:line="360" w:lineRule="auto"/>
        <w:rPr>
          <w:b/>
          <w:bCs/>
          <w:lang w:val="en-GB"/>
        </w:rPr>
      </w:pPr>
      <w:r w:rsidRPr="00D8050C">
        <w:rPr>
          <w:b/>
          <w:bCs/>
          <w:lang w:val="en-GB"/>
        </w:rPr>
        <w:br w:type="page"/>
      </w:r>
    </w:p>
    <w:p w14:paraId="1C03DA7F" w14:textId="3582419B" w:rsidR="001F2D11" w:rsidRPr="00D8050C" w:rsidRDefault="00A33B4C" w:rsidP="00D8050C">
      <w:pPr>
        <w:spacing w:line="360" w:lineRule="auto"/>
        <w:rPr>
          <w:b/>
          <w:bCs/>
          <w:lang w:val="en-GB"/>
        </w:rPr>
      </w:pPr>
      <w:r w:rsidRPr="00D8050C">
        <w:rPr>
          <w:b/>
          <w:bCs/>
          <w:noProof/>
          <w:lang w:val="en-GB"/>
        </w:rPr>
        <w:lastRenderedPageBreak/>
        <w:drawing>
          <wp:inline distT="0" distB="0" distL="0" distR="0" wp14:anchorId="0D79C6AD" wp14:editId="6149C482">
            <wp:extent cx="5731510" cy="39573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3957320"/>
                    </a:xfrm>
                    <a:prstGeom prst="rect">
                      <a:avLst/>
                    </a:prstGeom>
                  </pic:spPr>
                </pic:pic>
              </a:graphicData>
            </a:graphic>
          </wp:inline>
        </w:drawing>
      </w:r>
      <w:r w:rsidR="00372EE3" w:rsidRPr="00D8050C">
        <w:rPr>
          <w:b/>
          <w:bCs/>
          <w:lang w:val="en-GB"/>
        </w:rPr>
        <w:t xml:space="preserve">SI 13 Fig. </w:t>
      </w:r>
      <w:r w:rsidR="00CE26AA" w:rsidRPr="00D8050C">
        <w:rPr>
          <w:b/>
          <w:bCs/>
          <w:lang w:val="en-GB"/>
        </w:rPr>
        <w:t>8</w:t>
      </w:r>
      <w:r w:rsidR="00372EE3" w:rsidRPr="00D8050C">
        <w:rPr>
          <w:b/>
          <w:bCs/>
          <w:lang w:val="en-GB"/>
        </w:rPr>
        <w:t xml:space="preserve">. </w:t>
      </w:r>
      <w:r w:rsidR="001F2D11" w:rsidRPr="00D8050C">
        <w:rPr>
          <w:b/>
          <w:bCs/>
        </w:rPr>
        <w:t xml:space="preserve">The genetic </w:t>
      </w:r>
      <w:r w:rsidR="001F2D11" w:rsidRPr="00D8050C">
        <w:rPr>
          <w:b/>
          <w:bCs/>
          <w:lang w:val="en-US"/>
        </w:rPr>
        <w:t>cladality</w:t>
      </w:r>
      <w:r w:rsidR="001F2D11" w:rsidRPr="00D8050C">
        <w:rPr>
          <w:b/>
          <w:bCs/>
        </w:rPr>
        <w:t xml:space="preserve"> between </w:t>
      </w:r>
      <w:r w:rsidR="001F2D11" w:rsidRPr="00D8050C">
        <w:rPr>
          <w:b/>
          <w:bCs/>
          <w:lang w:val="en-US"/>
        </w:rPr>
        <w:t xml:space="preserve">the Late Nagabaka individuals and </w:t>
      </w:r>
      <w:r w:rsidR="001F2D11" w:rsidRPr="00D8050C">
        <w:rPr>
          <w:b/>
          <w:bCs/>
          <w:color w:val="000000" w:themeColor="text1"/>
          <w:lang w:val="en-GB"/>
        </w:rPr>
        <w:t>Jōmon</w:t>
      </w:r>
      <w:r w:rsidR="001F2D11" w:rsidRPr="00D8050C">
        <w:rPr>
          <w:b/>
          <w:bCs/>
        </w:rPr>
        <w:t xml:space="preserve">. </w:t>
      </w:r>
      <w:r w:rsidR="001F2D11" w:rsidRPr="00D8050C">
        <w:t xml:space="preserve">We present 15 most positive (upper side) and 15 most negative (lower side) </w:t>
      </w:r>
      <w:r w:rsidR="001F2D11" w:rsidRPr="00D8050C">
        <w:rPr>
          <w:i/>
          <w:iCs/>
        </w:rPr>
        <w:t>f4</w:t>
      </w:r>
      <w:r w:rsidR="001F2D11" w:rsidRPr="00D8050C">
        <w:t>(</w:t>
      </w:r>
      <w:r w:rsidR="001F2D11" w:rsidRPr="00D8050C">
        <w:rPr>
          <w:lang w:val="en-US"/>
        </w:rPr>
        <w:t>Mbuti, Rokutsu Jomon</w:t>
      </w:r>
      <w:r w:rsidR="001F2D11" w:rsidRPr="00D8050C">
        <w:t xml:space="preserve">; X, </w:t>
      </w:r>
      <w:r w:rsidR="001F2D11" w:rsidRPr="00D8050C">
        <w:rPr>
          <w:lang w:val="en-US"/>
        </w:rPr>
        <w:t>Nagabaka_late</w:t>
      </w:r>
      <w:r w:rsidR="001F2D11" w:rsidRPr="00D8050C">
        <w:t xml:space="preserve">) statistics across </w:t>
      </w:r>
      <w:r w:rsidR="001F2D11" w:rsidRPr="00D8050C">
        <w:rPr>
          <w:lang w:val="en-US"/>
        </w:rPr>
        <w:t>174</w:t>
      </w:r>
      <w:r w:rsidR="001F2D11" w:rsidRPr="00D8050C">
        <w:t xml:space="preserve"> world-wide populations. Horizontal bars represent the point estimate ± 3 (thin) and ± 1 (thick) s.e.m, respectivley. s.e.m. are estimated using 5 cM block jackknifing. </w:t>
      </w:r>
      <w:r w:rsidR="001F2D11" w:rsidRPr="00D8050C">
        <w:rPr>
          <w:i/>
          <w:iCs/>
        </w:rPr>
        <w:t xml:space="preserve">F4 </w:t>
      </w:r>
      <w:r w:rsidR="001F2D11" w:rsidRPr="00D8050C">
        <w:t xml:space="preserve">statistics deviating three s.e.m. or more from zero are marked in </w:t>
      </w:r>
      <w:r w:rsidR="001F2D11" w:rsidRPr="00D8050C">
        <w:rPr>
          <w:lang w:val="en-US"/>
        </w:rPr>
        <w:t>red</w:t>
      </w:r>
      <w:r w:rsidR="001F2D11" w:rsidRPr="00D8050C">
        <w:t>.</w:t>
      </w:r>
    </w:p>
    <w:p w14:paraId="14D394F4" w14:textId="77777777" w:rsidR="00E143FA" w:rsidRPr="00D8050C" w:rsidRDefault="00E143FA" w:rsidP="00D8050C">
      <w:pPr>
        <w:spacing w:line="360" w:lineRule="auto"/>
        <w:rPr>
          <w:b/>
          <w:bCs/>
          <w:lang w:val="en-GB"/>
        </w:rPr>
      </w:pPr>
    </w:p>
    <w:p w14:paraId="44F3E9C5" w14:textId="77777777" w:rsidR="00E143FA" w:rsidRPr="00D8050C" w:rsidRDefault="00E143FA" w:rsidP="00D8050C">
      <w:pPr>
        <w:spacing w:line="360" w:lineRule="auto"/>
        <w:rPr>
          <w:b/>
          <w:bCs/>
          <w:lang w:val="en-GB"/>
        </w:rPr>
      </w:pPr>
      <w:r w:rsidRPr="00D8050C">
        <w:rPr>
          <w:b/>
          <w:bCs/>
          <w:lang w:val="en-GB"/>
        </w:rPr>
        <w:br w:type="page"/>
      </w:r>
    </w:p>
    <w:p w14:paraId="2818607C" w14:textId="77777777" w:rsidR="00531696" w:rsidRPr="00D8050C" w:rsidRDefault="00E143FA" w:rsidP="00D8050C">
      <w:pPr>
        <w:spacing w:line="360" w:lineRule="auto"/>
        <w:rPr>
          <w:b/>
          <w:bCs/>
          <w:lang w:val="en-GB"/>
        </w:rPr>
      </w:pPr>
      <w:r w:rsidRPr="00D8050C">
        <w:rPr>
          <w:b/>
          <w:bCs/>
          <w:noProof/>
          <w:lang w:val="en-GB"/>
        </w:rPr>
        <w:lastRenderedPageBreak/>
        <w:drawing>
          <wp:inline distT="0" distB="0" distL="0" distR="0" wp14:anchorId="4E2AC696" wp14:editId="0311A6A9">
            <wp:extent cx="5731510" cy="4055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3E3739A0" w14:textId="53E7A7D4" w:rsidR="00FF5208" w:rsidRPr="00D8050C" w:rsidRDefault="00531696" w:rsidP="00D8050C">
      <w:pPr>
        <w:spacing w:line="360" w:lineRule="auto"/>
        <w:rPr>
          <w:b/>
          <w:bCs/>
          <w:lang w:val="en-GB"/>
        </w:rPr>
      </w:pPr>
      <w:r w:rsidRPr="00D8050C">
        <w:rPr>
          <w:b/>
          <w:bCs/>
          <w:lang w:val="en-GB"/>
        </w:rPr>
        <w:t xml:space="preserve">SI 13 Fig. 9. </w:t>
      </w:r>
      <w:r w:rsidR="003068BF" w:rsidRPr="00D8050C">
        <w:rPr>
          <w:b/>
          <w:bCs/>
        </w:rPr>
        <w:t xml:space="preserve">The genetic difference between </w:t>
      </w:r>
      <w:r w:rsidR="003068BF" w:rsidRPr="00D8050C">
        <w:rPr>
          <w:b/>
          <w:bCs/>
          <w:lang w:val="en-US"/>
        </w:rPr>
        <w:t>Late</w:t>
      </w:r>
      <w:r w:rsidR="003068BF" w:rsidRPr="00D8050C">
        <w:rPr>
          <w:b/>
          <w:bCs/>
        </w:rPr>
        <w:t xml:space="preserve"> and </w:t>
      </w:r>
      <w:r w:rsidR="003068BF" w:rsidRPr="00D8050C">
        <w:rPr>
          <w:b/>
          <w:bCs/>
          <w:lang w:val="en-US"/>
        </w:rPr>
        <w:t>historic</w:t>
      </w:r>
      <w:r w:rsidR="003068BF" w:rsidRPr="00D8050C">
        <w:rPr>
          <w:b/>
          <w:bCs/>
        </w:rPr>
        <w:t xml:space="preserve"> </w:t>
      </w:r>
      <w:r w:rsidR="003068BF" w:rsidRPr="00D8050C">
        <w:rPr>
          <w:b/>
          <w:bCs/>
          <w:lang w:val="en-US"/>
        </w:rPr>
        <w:t>Nagabaka</w:t>
      </w:r>
      <w:r w:rsidR="003068BF" w:rsidRPr="00D8050C">
        <w:rPr>
          <w:b/>
          <w:bCs/>
        </w:rPr>
        <w:t xml:space="preserve"> </w:t>
      </w:r>
      <w:r w:rsidR="003068BF" w:rsidRPr="00D8050C">
        <w:rPr>
          <w:b/>
          <w:bCs/>
          <w:lang w:val="en-US"/>
        </w:rPr>
        <w:t>individual</w:t>
      </w:r>
      <w:r w:rsidR="003068BF" w:rsidRPr="00D8050C">
        <w:rPr>
          <w:b/>
          <w:bCs/>
        </w:rPr>
        <w:t xml:space="preserve">s from </w:t>
      </w:r>
      <w:r w:rsidR="003068BF" w:rsidRPr="00D8050C">
        <w:rPr>
          <w:b/>
          <w:bCs/>
          <w:lang w:val="en-US"/>
        </w:rPr>
        <w:t>Miyako island</w:t>
      </w:r>
      <w:r w:rsidR="003068BF" w:rsidRPr="00D8050C">
        <w:rPr>
          <w:b/>
          <w:bCs/>
        </w:rPr>
        <w:t xml:space="preserve">. </w:t>
      </w:r>
      <w:r w:rsidR="003068BF" w:rsidRPr="00D8050C">
        <w:t xml:space="preserve">We present 15 most positive (upper side) and 15 most negative (lower side) </w:t>
      </w:r>
      <w:r w:rsidR="003068BF" w:rsidRPr="00D8050C">
        <w:rPr>
          <w:i/>
          <w:iCs/>
        </w:rPr>
        <w:t>f4</w:t>
      </w:r>
      <w:r w:rsidR="003068BF" w:rsidRPr="00D8050C">
        <w:t>(</w:t>
      </w:r>
      <w:r w:rsidR="003068BF" w:rsidRPr="00D8050C">
        <w:rPr>
          <w:lang w:val="en-US"/>
        </w:rPr>
        <w:t>Mbuti,</w:t>
      </w:r>
      <w:r w:rsidR="003068BF" w:rsidRPr="00D8050C">
        <w:t xml:space="preserve"> </w:t>
      </w:r>
      <w:r w:rsidR="003068BF" w:rsidRPr="00D8050C">
        <w:rPr>
          <w:lang w:val="en-US"/>
        </w:rPr>
        <w:t>Nagabaka_historic; X</w:t>
      </w:r>
      <w:r w:rsidR="003068BF" w:rsidRPr="00D8050C">
        <w:t xml:space="preserve">, </w:t>
      </w:r>
      <w:r w:rsidR="003068BF" w:rsidRPr="00D8050C">
        <w:rPr>
          <w:lang w:val="en-US"/>
        </w:rPr>
        <w:t>Nagabaka_late</w:t>
      </w:r>
      <w:r w:rsidR="003068BF" w:rsidRPr="00D8050C">
        <w:t>)</w:t>
      </w:r>
      <w:r w:rsidR="003068BF" w:rsidRPr="00D8050C">
        <w:rPr>
          <w:lang w:val="en-US"/>
        </w:rPr>
        <w:t xml:space="preserve"> and </w:t>
      </w:r>
      <w:r w:rsidR="003068BF" w:rsidRPr="00D8050C">
        <w:rPr>
          <w:i/>
          <w:iCs/>
        </w:rPr>
        <w:t>f4</w:t>
      </w:r>
      <w:r w:rsidR="003068BF" w:rsidRPr="00D8050C">
        <w:t>(</w:t>
      </w:r>
      <w:r w:rsidR="003068BF" w:rsidRPr="00D8050C">
        <w:rPr>
          <w:lang w:val="en-US"/>
        </w:rPr>
        <w:t>Mbuti,</w:t>
      </w:r>
      <w:r w:rsidR="003068BF" w:rsidRPr="00D8050C">
        <w:t xml:space="preserve"> </w:t>
      </w:r>
      <w:r w:rsidR="003068BF" w:rsidRPr="00D8050C">
        <w:rPr>
          <w:lang w:val="en-US"/>
        </w:rPr>
        <w:t>X</w:t>
      </w:r>
      <w:r w:rsidR="003068BF" w:rsidRPr="00D8050C">
        <w:t xml:space="preserve">; </w:t>
      </w:r>
      <w:r w:rsidR="003068BF" w:rsidRPr="00D8050C">
        <w:rPr>
          <w:lang w:val="en-US"/>
        </w:rPr>
        <w:t>Nagabaka_historic</w:t>
      </w:r>
      <w:r w:rsidR="003068BF" w:rsidRPr="00D8050C">
        <w:t xml:space="preserve">, </w:t>
      </w:r>
      <w:r w:rsidR="003068BF" w:rsidRPr="00D8050C">
        <w:rPr>
          <w:lang w:val="en-US"/>
        </w:rPr>
        <w:t>Nagabaka_late</w:t>
      </w:r>
      <w:r w:rsidR="003068BF" w:rsidRPr="00D8050C">
        <w:t xml:space="preserve">) statistics across </w:t>
      </w:r>
      <w:r w:rsidR="003068BF" w:rsidRPr="00D8050C">
        <w:rPr>
          <w:lang w:val="en-US"/>
        </w:rPr>
        <w:t>174</w:t>
      </w:r>
      <w:r w:rsidR="003068BF" w:rsidRPr="00D8050C">
        <w:t xml:space="preserve"> world-wide populations. Horizontal bars represent the point estimate ± 3 (thin) and ± 1 (thick) s.e.m, respectivley. s.e.m. are estimated using 5 cM block jackknifing. </w:t>
      </w:r>
      <w:r w:rsidR="003068BF" w:rsidRPr="00D8050C">
        <w:rPr>
          <w:i/>
          <w:iCs/>
        </w:rPr>
        <w:t xml:space="preserve">F4 </w:t>
      </w:r>
      <w:r w:rsidR="003068BF" w:rsidRPr="00D8050C">
        <w:t xml:space="preserve">statistics deviating three s.e.m. or more from zero are marked in </w:t>
      </w:r>
      <w:r w:rsidR="003068BF" w:rsidRPr="00D8050C">
        <w:rPr>
          <w:lang w:val="en-US"/>
        </w:rPr>
        <w:t>red</w:t>
      </w:r>
      <w:r w:rsidR="003068BF" w:rsidRPr="00D8050C">
        <w:t>.</w:t>
      </w:r>
      <w:r w:rsidR="00372EE3" w:rsidRPr="00D8050C">
        <w:rPr>
          <w:b/>
          <w:bCs/>
          <w:lang w:val="en-GB"/>
        </w:rPr>
        <w:br w:type="page"/>
      </w:r>
    </w:p>
    <w:p w14:paraId="2E1E50DA" w14:textId="2D8D3BF5" w:rsidR="007E752B" w:rsidRPr="00D8050C" w:rsidRDefault="00314812" w:rsidP="00D8050C">
      <w:pPr>
        <w:spacing w:line="360" w:lineRule="auto"/>
        <w:rPr>
          <w:b/>
          <w:bCs/>
          <w:lang w:val="en-GB"/>
        </w:rPr>
      </w:pPr>
      <w:r w:rsidRPr="00D8050C">
        <w:rPr>
          <w:b/>
          <w:bCs/>
          <w:lang w:val="en-GB"/>
        </w:rPr>
        <w:lastRenderedPageBreak/>
        <w:t>References</w:t>
      </w:r>
    </w:p>
    <w:sectPr w:rsidR="007E752B" w:rsidRPr="00D8050C" w:rsidSect="007F2531">
      <w:footerReference w:type="even" r:id="rId16"/>
      <w:footerReference w:type="default" r:id="rId17"/>
      <w:endnotePr>
        <w:numFmt w:val="decimal"/>
      </w:endnotePr>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15539" w14:textId="77777777" w:rsidR="00AE23EB" w:rsidRDefault="00AE23EB" w:rsidP="00394DBF">
      <w:r>
        <w:separator/>
      </w:r>
    </w:p>
  </w:endnote>
  <w:endnote w:type="continuationSeparator" w:id="0">
    <w:p w14:paraId="31099F66" w14:textId="77777777" w:rsidR="00AE23EB" w:rsidRDefault="00AE23EB" w:rsidP="00394DBF">
      <w:r>
        <w:continuationSeparator/>
      </w:r>
    </w:p>
  </w:endnote>
  <w:endnote w:id="1">
    <w:p w14:paraId="31B52212" w14:textId="6A898C0D" w:rsidR="00BB6F09" w:rsidRPr="00F341F9" w:rsidRDefault="00BB6F09" w:rsidP="00004819">
      <w:pPr>
        <w:pStyle w:val="EndnoteText"/>
        <w:spacing w:line="360" w:lineRule="auto"/>
        <w:rPr>
          <w:rFonts w:ascii="Times New Roman" w:hAnsi="Times New Roman" w:cs="Times New Roman"/>
          <w:sz w:val="22"/>
          <w:szCs w:val="22"/>
        </w:rPr>
      </w:pPr>
      <w:r w:rsidRPr="00F341F9">
        <w:rPr>
          <w:rStyle w:val="EndnoteReference"/>
          <w:rFonts w:ascii="Times New Roman" w:hAnsi="Times New Roman" w:cs="Times New Roman"/>
          <w:sz w:val="22"/>
          <w:szCs w:val="22"/>
        </w:rPr>
        <w:endnoteRef/>
      </w:r>
      <w:r w:rsidRPr="00F341F9">
        <w:rPr>
          <w:rFonts w:ascii="Times New Roman" w:hAnsi="Times New Roman" w:cs="Times New Roman"/>
          <w:sz w:val="22"/>
          <w:szCs w:val="22"/>
        </w:rPr>
        <w:t xml:space="preserve"> </w:t>
      </w:r>
      <w:r w:rsidRPr="00F341F9">
        <w:rPr>
          <w:rFonts w:ascii="Times New Roman" w:hAnsi="Times New Roman" w:cs="Times New Roman"/>
          <w:color w:val="000000" w:themeColor="text1"/>
          <w:sz w:val="22"/>
          <w:szCs w:val="22"/>
          <w:lang w:val="en-GB"/>
        </w:rPr>
        <w:t xml:space="preserve">Renaud, G., Slon, V., Duggan, A.T. &amp; Kelso, J. Schmutzi: estimation of contamination and endogenous mitochondrial consensus calling for ancient DNA. </w:t>
      </w:r>
      <w:r w:rsidRPr="00F341F9">
        <w:rPr>
          <w:rFonts w:ascii="Times New Roman" w:hAnsi="Times New Roman" w:cs="Times New Roman"/>
          <w:i/>
          <w:iCs/>
          <w:color w:val="000000" w:themeColor="text1"/>
          <w:sz w:val="22"/>
          <w:szCs w:val="22"/>
          <w:lang w:val="de-DE"/>
        </w:rPr>
        <w:t>Genome Biol</w:t>
      </w:r>
      <w:r w:rsidRPr="00F341F9">
        <w:rPr>
          <w:rFonts w:ascii="Times New Roman" w:hAnsi="Times New Roman" w:cs="Times New Roman"/>
          <w:color w:val="000000" w:themeColor="text1"/>
          <w:sz w:val="22"/>
          <w:szCs w:val="22"/>
          <w:lang w:val="de-DE"/>
        </w:rPr>
        <w:t xml:space="preserve">. </w:t>
      </w:r>
      <w:r w:rsidRPr="00F341F9">
        <w:rPr>
          <w:rFonts w:ascii="Times New Roman" w:hAnsi="Times New Roman" w:cs="Times New Roman"/>
          <w:b/>
          <w:bCs/>
          <w:color w:val="000000" w:themeColor="text1"/>
          <w:sz w:val="22"/>
          <w:szCs w:val="22"/>
          <w:lang w:val="de-DE"/>
        </w:rPr>
        <w:t>16</w:t>
      </w:r>
      <w:r w:rsidRPr="00F341F9">
        <w:rPr>
          <w:rFonts w:ascii="Times New Roman" w:hAnsi="Times New Roman" w:cs="Times New Roman"/>
          <w:color w:val="000000" w:themeColor="text1"/>
          <w:sz w:val="22"/>
          <w:szCs w:val="22"/>
          <w:lang w:val="de-DE"/>
        </w:rPr>
        <w:t>, e224 (2015).</w:t>
      </w:r>
    </w:p>
  </w:endnote>
  <w:endnote w:id="2">
    <w:p w14:paraId="38854575" w14:textId="33F6FEE5" w:rsidR="00BB6F09" w:rsidRPr="00004819" w:rsidRDefault="00BB6F09" w:rsidP="00004819">
      <w:pPr>
        <w:pStyle w:val="EndnoteText"/>
        <w:spacing w:line="360" w:lineRule="auto"/>
        <w:rPr>
          <w:rFonts w:ascii="Times New Roman" w:hAnsi="Times New Roman" w:cs="Times New Roman"/>
          <w:sz w:val="22"/>
          <w:szCs w:val="22"/>
          <w:lang w:val="en-US"/>
        </w:rPr>
      </w:pPr>
      <w:r w:rsidRPr="00F341F9">
        <w:rPr>
          <w:rStyle w:val="EndnoteReference"/>
          <w:rFonts w:ascii="Times New Roman" w:hAnsi="Times New Roman" w:cs="Times New Roman"/>
          <w:sz w:val="22"/>
          <w:szCs w:val="22"/>
        </w:rPr>
        <w:endnoteRef/>
      </w:r>
      <w:r w:rsidRPr="00F341F9">
        <w:rPr>
          <w:rFonts w:ascii="Times New Roman" w:hAnsi="Times New Roman" w:cs="Times New Roman"/>
          <w:sz w:val="22"/>
          <w:szCs w:val="22"/>
        </w:rPr>
        <w:t xml:space="preserve"> Peltzer, A., Jäger, G., Herbig, A., Seitz, A., Kniep, C., Krause, J. &amp; Nieselt, K. EAGER: efficient ancient genome reconstruction. </w:t>
      </w:r>
      <w:r w:rsidRPr="00F341F9">
        <w:rPr>
          <w:rFonts w:ascii="Times New Roman" w:hAnsi="Times New Roman" w:cs="Times New Roman"/>
          <w:i/>
          <w:iCs/>
          <w:sz w:val="22"/>
          <w:szCs w:val="22"/>
        </w:rPr>
        <w:t>G</w:t>
      </w:r>
      <w:r w:rsidRPr="00F341F9">
        <w:rPr>
          <w:rFonts w:ascii="Times New Roman" w:hAnsi="Times New Roman" w:cs="Times New Roman"/>
          <w:i/>
          <w:iCs/>
          <w:sz w:val="22"/>
          <w:szCs w:val="22"/>
          <w:lang w:val="en-US"/>
        </w:rPr>
        <w:t>enome Biol</w:t>
      </w:r>
      <w:r w:rsidRPr="00F341F9">
        <w:rPr>
          <w:rFonts w:ascii="Times New Roman" w:hAnsi="Times New Roman" w:cs="Times New Roman"/>
          <w:sz w:val="22"/>
          <w:szCs w:val="22"/>
          <w:lang w:val="en-US"/>
        </w:rPr>
        <w:t xml:space="preserve">. </w:t>
      </w:r>
      <w:r w:rsidRPr="00F341F9">
        <w:rPr>
          <w:rFonts w:ascii="Times New Roman" w:hAnsi="Times New Roman" w:cs="Times New Roman"/>
          <w:b/>
          <w:bCs/>
          <w:sz w:val="22"/>
          <w:szCs w:val="22"/>
          <w:lang w:val="en-US"/>
        </w:rPr>
        <w:t>17</w:t>
      </w:r>
      <w:r w:rsidRPr="00F341F9">
        <w:rPr>
          <w:rFonts w:ascii="Times New Roman" w:hAnsi="Times New Roman" w:cs="Times New Roman"/>
          <w:sz w:val="22"/>
          <w:szCs w:val="22"/>
          <w:lang w:val="en-US"/>
        </w:rPr>
        <w:t>, e60 (2016).</w:t>
      </w:r>
      <w:r w:rsidRPr="00004819">
        <w:rPr>
          <w:rFonts w:ascii="Times New Roman" w:hAnsi="Times New Roman" w:cs="Times New Roman"/>
          <w:sz w:val="22"/>
          <w:szCs w:val="22"/>
          <w:lang w:val="en-US"/>
        </w:rPr>
        <w:t xml:space="preserve"> </w:t>
      </w:r>
    </w:p>
  </w:endnote>
  <w:endnote w:id="3">
    <w:p w14:paraId="1786DB03" w14:textId="1BC2EA8B" w:rsidR="00BB6F09" w:rsidRPr="00004819" w:rsidRDefault="00BB6F09" w:rsidP="00004819">
      <w:pPr>
        <w:spacing w:line="360" w:lineRule="auto"/>
        <w:rPr>
          <w:sz w:val="22"/>
          <w:szCs w:val="22"/>
        </w:rPr>
      </w:pPr>
      <w:r w:rsidRPr="00004819">
        <w:rPr>
          <w:rStyle w:val="EndnoteReference"/>
          <w:sz w:val="22"/>
          <w:szCs w:val="22"/>
          <w:lang w:val="en-GB"/>
        </w:rPr>
        <w:endnoteRef/>
      </w:r>
      <w:r w:rsidRPr="00004819">
        <w:rPr>
          <w:sz w:val="22"/>
          <w:szCs w:val="22"/>
          <w:lang w:val="en-GB"/>
        </w:rPr>
        <w:t xml:space="preserve"> Bausch, I. in</w:t>
      </w:r>
      <w:r w:rsidRPr="00004819">
        <w:rPr>
          <w:sz w:val="22"/>
          <w:szCs w:val="22"/>
        </w:rPr>
        <w:t xml:space="preserve"> </w:t>
      </w:r>
      <w:r w:rsidRPr="00004819">
        <w:rPr>
          <w:i/>
          <w:sz w:val="22"/>
          <w:szCs w:val="22"/>
        </w:rPr>
        <w:t>The Routledge Handbook of Archaeology and Globalization</w:t>
      </w:r>
      <w:r w:rsidRPr="00004819">
        <w:rPr>
          <w:sz w:val="22"/>
          <w:szCs w:val="22"/>
        </w:rPr>
        <w:t xml:space="preserve"> </w:t>
      </w:r>
      <w:r w:rsidRPr="00004819">
        <w:rPr>
          <w:sz w:val="22"/>
          <w:szCs w:val="22"/>
          <w:lang w:val="en-US"/>
        </w:rPr>
        <w:t>(</w:t>
      </w:r>
      <w:r w:rsidRPr="00004819">
        <w:rPr>
          <w:sz w:val="22"/>
          <w:szCs w:val="22"/>
        </w:rPr>
        <w:t>ed Hodos,</w:t>
      </w:r>
      <w:r w:rsidRPr="00004819">
        <w:rPr>
          <w:sz w:val="22"/>
          <w:szCs w:val="22"/>
          <w:lang w:val="en-US"/>
        </w:rPr>
        <w:t xml:space="preserve"> T.)</w:t>
      </w:r>
      <w:r w:rsidRPr="00004819">
        <w:rPr>
          <w:sz w:val="22"/>
          <w:szCs w:val="22"/>
        </w:rPr>
        <w:t xml:space="preserve"> 413-437 (Routledge, 2017).</w:t>
      </w:r>
    </w:p>
  </w:endnote>
  <w:endnote w:id="4">
    <w:p w14:paraId="6C7889A3" w14:textId="740D4949"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Imamura, K. </w:t>
      </w:r>
      <w:r w:rsidRPr="00004819">
        <w:rPr>
          <w:rFonts w:ascii="Times New Roman" w:hAnsi="Times New Roman" w:cs="Times New Roman"/>
          <w:i/>
          <w:iCs/>
          <w:sz w:val="22"/>
          <w:szCs w:val="22"/>
          <w:lang w:val="en-US"/>
        </w:rPr>
        <w:t>Prehistoric Japan: New Perspectives on Insular East Asia</w:t>
      </w:r>
      <w:r w:rsidRPr="00004819">
        <w:rPr>
          <w:rFonts w:ascii="Times New Roman" w:hAnsi="Times New Roman" w:cs="Times New Roman"/>
          <w:sz w:val="22"/>
          <w:szCs w:val="22"/>
          <w:lang w:val="en-US"/>
        </w:rPr>
        <w:t xml:space="preserve"> (London: UCL Press, 1996).</w:t>
      </w:r>
    </w:p>
  </w:endnote>
  <w:endnote w:id="5">
    <w:p w14:paraId="5709D0DF" w14:textId="28D7E6C4" w:rsidR="00BB6F09" w:rsidRPr="00004819" w:rsidRDefault="00BB6F09" w:rsidP="00004819">
      <w:pPr>
        <w:pStyle w:val="EndnoteText"/>
        <w:spacing w:line="360" w:lineRule="auto"/>
        <w:rPr>
          <w:rFonts w:ascii="Times New Roman" w:hAnsi="Times New Roman" w:cs="Times New Roman"/>
          <w:sz w:val="22"/>
          <w:szCs w:val="22"/>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Kobayashi, T. </w:t>
      </w:r>
      <w:r w:rsidRPr="00004819">
        <w:rPr>
          <w:rFonts w:ascii="Times New Roman" w:hAnsi="Times New Roman" w:cs="Times New Roman"/>
          <w:i/>
          <w:sz w:val="22"/>
          <w:szCs w:val="22"/>
        </w:rPr>
        <w:t>Jōmon bunka ga Nihonjin no mirai o hiraku</w:t>
      </w:r>
      <w:r w:rsidRPr="00004819">
        <w:rPr>
          <w:rFonts w:ascii="Times New Roman" w:hAnsi="Times New Roman" w:cs="Times New Roman"/>
          <w:sz w:val="22"/>
          <w:szCs w:val="22"/>
        </w:rPr>
        <w:t xml:space="preserve"> (Tokyo: Tokuma shoten, 2018).</w:t>
      </w:r>
    </w:p>
  </w:endnote>
  <w:endnote w:id="6">
    <w:p w14:paraId="0E4C81EC" w14:textId="77777777"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Hudson, M.J. </w:t>
      </w:r>
      <w:r w:rsidRPr="00004819">
        <w:rPr>
          <w:rFonts w:ascii="Times New Roman" w:hAnsi="Times New Roman" w:cs="Times New Roman"/>
          <w:i/>
          <w:iCs/>
          <w:sz w:val="22"/>
          <w:szCs w:val="22"/>
          <w:lang w:val="en-US"/>
        </w:rPr>
        <w:t>Ruins of Identity: Ethnogenesis in the Japanese Islands</w:t>
      </w:r>
      <w:r w:rsidRPr="00004819">
        <w:rPr>
          <w:rFonts w:ascii="Times New Roman" w:hAnsi="Times New Roman" w:cs="Times New Roman"/>
          <w:sz w:val="22"/>
          <w:szCs w:val="22"/>
          <w:lang w:val="en-US"/>
        </w:rPr>
        <w:t xml:space="preserve"> (Univ. Hawai‘i Press, 1999). </w:t>
      </w:r>
    </w:p>
  </w:endnote>
  <w:endnote w:id="7">
    <w:p w14:paraId="2820EFEF" w14:textId="77777777"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Hanihara, K. Dual structure model for the population history of the Japanese. </w:t>
      </w:r>
      <w:r w:rsidRPr="00004819">
        <w:rPr>
          <w:rFonts w:ascii="Times New Roman" w:hAnsi="Times New Roman" w:cs="Times New Roman"/>
          <w:i/>
          <w:iCs/>
          <w:sz w:val="22"/>
          <w:szCs w:val="22"/>
          <w:lang w:val="en-US"/>
        </w:rPr>
        <w:t>Jpn. Rev</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2</w:t>
      </w:r>
      <w:r w:rsidRPr="00004819">
        <w:rPr>
          <w:rFonts w:ascii="Times New Roman" w:hAnsi="Times New Roman" w:cs="Times New Roman"/>
          <w:sz w:val="22"/>
          <w:szCs w:val="22"/>
          <w:lang w:val="en-US"/>
        </w:rPr>
        <w:t xml:space="preserve">, 1-33 (1991). </w:t>
      </w:r>
    </w:p>
  </w:endnote>
  <w:endnote w:id="8">
    <w:p w14:paraId="12A17C51" w14:textId="77777777"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Hudson, M.J., Nakagome, S. &amp; Whitman, J.B. The evolving Japanese: the dual structure hypothesis at 30. </w:t>
      </w:r>
      <w:r w:rsidRPr="00004819">
        <w:rPr>
          <w:rFonts w:ascii="Times New Roman" w:hAnsi="Times New Roman" w:cs="Times New Roman"/>
          <w:i/>
          <w:iCs/>
          <w:sz w:val="22"/>
          <w:szCs w:val="22"/>
          <w:lang w:val="en-US"/>
        </w:rPr>
        <w:t>Evol. Hum. Sci</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2</w:t>
      </w:r>
      <w:r w:rsidRPr="00004819">
        <w:rPr>
          <w:rFonts w:ascii="Times New Roman" w:hAnsi="Times New Roman" w:cs="Times New Roman"/>
          <w:sz w:val="22"/>
          <w:szCs w:val="22"/>
          <w:lang w:val="en-US"/>
        </w:rPr>
        <w:t>, e6 (2020).</w:t>
      </w:r>
    </w:p>
  </w:endnote>
  <w:endnote w:id="9">
    <w:p w14:paraId="582AF6C2" w14:textId="77777777"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De Boer, E., Yang, M.A., Kawagoe, A. &amp; Barnes, G.L. Japan considered from the hypothesis of farmer/language spread. </w:t>
      </w:r>
      <w:r w:rsidRPr="00004819">
        <w:rPr>
          <w:rFonts w:ascii="Times New Roman" w:hAnsi="Times New Roman" w:cs="Times New Roman"/>
          <w:i/>
          <w:iCs/>
          <w:sz w:val="22"/>
          <w:szCs w:val="22"/>
          <w:lang w:val="en-US"/>
        </w:rPr>
        <w:t>Evol. Hum. Sci</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2</w:t>
      </w:r>
      <w:r w:rsidRPr="00004819">
        <w:rPr>
          <w:rFonts w:ascii="Times New Roman" w:hAnsi="Times New Roman" w:cs="Times New Roman"/>
          <w:sz w:val="22"/>
          <w:szCs w:val="22"/>
          <w:lang w:val="en-US"/>
        </w:rPr>
        <w:t>, e13 (2020).</w:t>
      </w:r>
    </w:p>
  </w:endnote>
  <w:endnote w:id="10">
    <w:p w14:paraId="03494753" w14:textId="77777777"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Rivollat, M. et al. Ancient genome-wide DNA from France highlights the complexity of interactions between Mesolithic hunter-gatherers and Neolithic farmers. </w:t>
      </w:r>
      <w:r w:rsidRPr="00004819">
        <w:rPr>
          <w:rFonts w:ascii="Times New Roman" w:hAnsi="Times New Roman" w:cs="Times New Roman"/>
          <w:i/>
          <w:iCs/>
          <w:sz w:val="22"/>
          <w:szCs w:val="22"/>
          <w:lang w:val="en-US"/>
        </w:rPr>
        <w:t>Sci. Adv</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6</w:t>
      </w:r>
      <w:r w:rsidRPr="00004819">
        <w:rPr>
          <w:rFonts w:ascii="Times New Roman" w:hAnsi="Times New Roman" w:cs="Times New Roman"/>
          <w:sz w:val="22"/>
          <w:szCs w:val="22"/>
          <w:lang w:val="en-US"/>
        </w:rPr>
        <w:t xml:space="preserve">, e5344 (2020). </w:t>
      </w:r>
    </w:p>
  </w:endnote>
  <w:endnote w:id="11">
    <w:p w14:paraId="313D2227" w14:textId="4A646CE0"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Nakahashi, T. in </w:t>
      </w:r>
      <w:r w:rsidRPr="00004819">
        <w:rPr>
          <w:rFonts w:ascii="Times New Roman" w:hAnsi="Times New Roman" w:cs="Times New Roman"/>
          <w:i/>
          <w:iCs/>
          <w:sz w:val="22"/>
          <w:szCs w:val="22"/>
          <w:lang w:val="en-US"/>
        </w:rPr>
        <w:t>Interdisciplinary Perspectives on the Origins of the Japanese</w:t>
      </w:r>
      <w:r w:rsidRPr="00004819">
        <w:rPr>
          <w:rFonts w:ascii="Times New Roman" w:hAnsi="Times New Roman" w:cs="Times New Roman"/>
          <w:sz w:val="22"/>
          <w:szCs w:val="22"/>
          <w:lang w:val="en-US"/>
        </w:rPr>
        <w:t xml:space="preserve"> (ed Omoto, K.) 127-142 (Kyoto: International Research Center for Japanese Studies, 1999).</w:t>
      </w:r>
    </w:p>
  </w:endnote>
  <w:endnote w:id="12">
    <w:p w14:paraId="7E91EBE5" w14:textId="3DFCF0FD"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Hoover</w:t>
      </w:r>
      <w:r w:rsidRPr="00004819">
        <w:rPr>
          <w:rFonts w:ascii="Times New Roman" w:hAnsi="Times New Roman" w:cs="Times New Roman"/>
          <w:sz w:val="22"/>
          <w:szCs w:val="22"/>
          <w:lang w:val="en-US"/>
        </w:rPr>
        <w:t>, K. &amp;</w:t>
      </w:r>
      <w:r w:rsidRPr="00004819">
        <w:rPr>
          <w:rFonts w:ascii="Times New Roman" w:hAnsi="Times New Roman" w:cs="Times New Roman"/>
          <w:sz w:val="22"/>
          <w:szCs w:val="22"/>
        </w:rPr>
        <w:t xml:space="preserve"> Hudson</w:t>
      </w:r>
      <w:r w:rsidRPr="00004819">
        <w:rPr>
          <w:rFonts w:ascii="Times New Roman" w:hAnsi="Times New Roman" w:cs="Times New Roman"/>
          <w:sz w:val="22"/>
          <w:szCs w:val="22"/>
          <w:lang w:val="en-US"/>
        </w:rPr>
        <w:t>, M.J.</w:t>
      </w:r>
      <w:r w:rsidRPr="00004819">
        <w:rPr>
          <w:rFonts w:ascii="Times New Roman" w:hAnsi="Times New Roman" w:cs="Times New Roman"/>
          <w:sz w:val="22"/>
          <w:szCs w:val="22"/>
        </w:rPr>
        <w:t xml:space="preserve"> Resilience in prehistoric persistent hunter-gatherers in northwest Kyushu, Japan as assessed by population health and archaeological evidence. </w:t>
      </w:r>
      <w:r w:rsidRPr="00004819">
        <w:rPr>
          <w:rFonts w:ascii="Times New Roman" w:hAnsi="Times New Roman" w:cs="Times New Roman"/>
          <w:i/>
          <w:sz w:val="22"/>
          <w:szCs w:val="22"/>
        </w:rPr>
        <w:t>Quat</w:t>
      </w:r>
      <w:r w:rsidRPr="00004819">
        <w:rPr>
          <w:rFonts w:ascii="Times New Roman" w:hAnsi="Times New Roman" w:cs="Times New Roman"/>
          <w:i/>
          <w:sz w:val="22"/>
          <w:szCs w:val="22"/>
          <w:lang w:val="en-US"/>
        </w:rPr>
        <w:t>.</w:t>
      </w:r>
      <w:r w:rsidRPr="00004819">
        <w:rPr>
          <w:rFonts w:ascii="Times New Roman" w:hAnsi="Times New Roman" w:cs="Times New Roman"/>
          <w:i/>
          <w:sz w:val="22"/>
          <w:szCs w:val="22"/>
        </w:rPr>
        <w:t xml:space="preserve"> Int</w:t>
      </w:r>
      <w:r w:rsidRPr="00004819">
        <w:rPr>
          <w:rFonts w:ascii="Times New Roman" w:hAnsi="Times New Roman" w:cs="Times New Roman"/>
          <w:i/>
          <w:sz w:val="22"/>
          <w:szCs w:val="22"/>
          <w:lang w:val="en-US"/>
        </w:rPr>
        <w:t>.</w:t>
      </w:r>
      <w:r w:rsidRPr="00004819">
        <w:rPr>
          <w:rFonts w:ascii="Times New Roman" w:hAnsi="Times New Roman" w:cs="Times New Roman"/>
          <w:sz w:val="22"/>
          <w:szCs w:val="22"/>
        </w:rPr>
        <w:t xml:space="preserve"> </w:t>
      </w:r>
      <w:r w:rsidRPr="00004819">
        <w:rPr>
          <w:rFonts w:ascii="Times New Roman" w:hAnsi="Times New Roman" w:cs="Times New Roman"/>
          <w:b/>
          <w:bCs/>
          <w:sz w:val="22"/>
          <w:szCs w:val="22"/>
        </w:rPr>
        <w:t>405(B)</w:t>
      </w:r>
      <w:r w:rsidRPr="00004819">
        <w:rPr>
          <w:rFonts w:ascii="Times New Roman" w:hAnsi="Times New Roman" w:cs="Times New Roman"/>
          <w:b/>
          <w:bCs/>
          <w:sz w:val="22"/>
          <w:szCs w:val="22"/>
          <w:lang w:val="en-US"/>
        </w:rPr>
        <w:t>,</w:t>
      </w:r>
      <w:r w:rsidRPr="00004819">
        <w:rPr>
          <w:rFonts w:ascii="Times New Roman" w:hAnsi="Times New Roman" w:cs="Times New Roman"/>
          <w:sz w:val="22"/>
          <w:szCs w:val="22"/>
        </w:rPr>
        <w:t xml:space="preserve"> 22-33</w:t>
      </w:r>
      <w:r w:rsidRPr="00004819">
        <w:rPr>
          <w:rFonts w:ascii="Times New Roman" w:hAnsi="Times New Roman" w:cs="Times New Roman"/>
          <w:sz w:val="22"/>
          <w:szCs w:val="22"/>
          <w:lang w:val="en-US"/>
        </w:rPr>
        <w:t xml:space="preserve"> (2016).</w:t>
      </w:r>
    </w:p>
  </w:endnote>
  <w:endnote w:id="13">
    <w:p w14:paraId="5BAFF593" w14:textId="0E92DC1E"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Kaifu, Y., Fujita, M., Yoneda, M. &amp; Yamasaki, S. in </w:t>
      </w:r>
      <w:r w:rsidRPr="00004819">
        <w:rPr>
          <w:rFonts w:ascii="Times New Roman" w:hAnsi="Times New Roman" w:cs="Times New Roman"/>
          <w:i/>
          <w:iCs/>
          <w:sz w:val="22"/>
          <w:szCs w:val="22"/>
          <w:lang w:val="en-US"/>
        </w:rPr>
        <w:t>Emergence and Diversity of Modern Human Behavior in Paleolithic Asia</w:t>
      </w:r>
      <w:r w:rsidRPr="00004819">
        <w:rPr>
          <w:rFonts w:ascii="Times New Roman" w:hAnsi="Times New Roman" w:cs="Times New Roman"/>
          <w:sz w:val="22"/>
          <w:szCs w:val="22"/>
          <w:lang w:val="en-US"/>
        </w:rPr>
        <w:t xml:space="preserve"> (ed Kaifu, Y., Izuho, M., Goebel, T., Sato, H. &amp; Ono, A.) 345-361 (Texas A&amp;M Univ. Press, 2015).</w:t>
      </w:r>
    </w:p>
  </w:endnote>
  <w:endnote w:id="14">
    <w:p w14:paraId="58D1DA45" w14:textId="77B8C071"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Kaifu, Y. et al. Palaeolithic seafaring in East Asia: testing the bamboo raft hypothesis. </w:t>
      </w:r>
      <w:r w:rsidRPr="00004819">
        <w:rPr>
          <w:rFonts w:ascii="Times New Roman" w:hAnsi="Times New Roman" w:cs="Times New Roman"/>
          <w:i/>
          <w:iCs/>
          <w:sz w:val="22"/>
          <w:szCs w:val="22"/>
          <w:lang w:val="en-US"/>
        </w:rPr>
        <w:t>Antiquity</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93</w:t>
      </w:r>
      <w:r w:rsidRPr="00004819">
        <w:rPr>
          <w:rFonts w:ascii="Times New Roman" w:hAnsi="Times New Roman" w:cs="Times New Roman"/>
          <w:sz w:val="22"/>
          <w:szCs w:val="22"/>
          <w:lang w:val="en-US"/>
        </w:rPr>
        <w:t xml:space="preserve">, 1424-1441 (2019). </w:t>
      </w:r>
    </w:p>
  </w:endnote>
  <w:endnote w:id="15">
    <w:p w14:paraId="2A4EE1E2" w14:textId="4E45410F"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Kaifu, Y., Kuo, T-H., Kubota, Y. &amp; Jan, S. Palaeolithic voyage for invisible islands beyond the horizon. </w:t>
      </w:r>
      <w:r w:rsidRPr="00004819">
        <w:rPr>
          <w:rFonts w:ascii="Times New Roman" w:hAnsi="Times New Roman" w:cs="Times New Roman"/>
          <w:i/>
          <w:iCs/>
          <w:sz w:val="22"/>
          <w:szCs w:val="22"/>
          <w:lang w:val="en-US"/>
        </w:rPr>
        <w:t>Sci. Rep</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10</w:t>
      </w:r>
      <w:r w:rsidRPr="00004819">
        <w:rPr>
          <w:rFonts w:ascii="Times New Roman" w:hAnsi="Times New Roman" w:cs="Times New Roman"/>
          <w:sz w:val="22"/>
          <w:szCs w:val="22"/>
          <w:lang w:val="en-US"/>
        </w:rPr>
        <w:t xml:space="preserve">, e19785 (2020). </w:t>
      </w:r>
    </w:p>
  </w:endnote>
  <w:endnote w:id="16">
    <w:p w14:paraId="7F6C09DF" w14:textId="7C990A2E" w:rsidR="00BB6F09" w:rsidRPr="00004819" w:rsidRDefault="00BB6F09" w:rsidP="00004819">
      <w:pPr>
        <w:pStyle w:val="NoSpacing"/>
        <w:spacing w:line="360" w:lineRule="auto"/>
        <w:rPr>
          <w:rFonts w:ascii="Times New Roman" w:eastAsia="Yu Mincho"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lang w:val="en-US"/>
        </w:rPr>
        <w:t xml:space="preserve"> </w:t>
      </w:r>
      <w:r w:rsidRPr="00004819">
        <w:rPr>
          <w:rFonts w:ascii="Times New Roman" w:eastAsia="Yu Mincho" w:hAnsi="Times New Roman" w:cs="Times New Roman"/>
          <w:sz w:val="22"/>
          <w:szCs w:val="22"/>
          <w:lang w:val="en-US"/>
        </w:rPr>
        <w:t xml:space="preserve">Takamiya, H., Hudson, M., Yonenobu, H., Kurozumi, T. &amp; Toizumi, T. An extraordinary case in human history: prehistoric hunter-gatherer adaptation to the islands of the central Ryukyus (Okinawa and Amami archipelagos), Japan. </w:t>
      </w:r>
      <w:r w:rsidRPr="00004819">
        <w:rPr>
          <w:rFonts w:ascii="Times New Roman" w:eastAsia="Yu Mincho" w:hAnsi="Times New Roman" w:cs="Times New Roman"/>
          <w:i/>
          <w:sz w:val="22"/>
          <w:szCs w:val="22"/>
          <w:lang w:val="en-US"/>
        </w:rPr>
        <w:t>Holocene</w:t>
      </w:r>
      <w:r w:rsidRPr="00004819">
        <w:rPr>
          <w:rFonts w:ascii="Times New Roman" w:eastAsia="Yu Mincho" w:hAnsi="Times New Roman" w:cs="Times New Roman"/>
          <w:sz w:val="22"/>
          <w:szCs w:val="22"/>
          <w:lang w:val="en-US"/>
        </w:rPr>
        <w:t xml:space="preserve"> </w:t>
      </w:r>
      <w:r w:rsidRPr="00004819">
        <w:rPr>
          <w:rFonts w:ascii="Times New Roman" w:eastAsia="Yu Mincho" w:hAnsi="Times New Roman" w:cs="Times New Roman"/>
          <w:b/>
          <w:sz w:val="22"/>
          <w:szCs w:val="22"/>
          <w:lang w:val="en-US"/>
        </w:rPr>
        <w:t>26</w:t>
      </w:r>
      <w:r w:rsidRPr="00004819">
        <w:rPr>
          <w:rFonts w:ascii="Times New Roman" w:eastAsia="Yu Mincho" w:hAnsi="Times New Roman" w:cs="Times New Roman"/>
          <w:sz w:val="22"/>
          <w:szCs w:val="22"/>
          <w:lang w:val="en-US"/>
        </w:rPr>
        <w:t xml:space="preserve">, 408-422 (2015). </w:t>
      </w:r>
    </w:p>
  </w:endnote>
  <w:endnote w:id="17">
    <w:p w14:paraId="29B261DD" w14:textId="5ADA1D0B"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Nakagawa, R., Doi, N., Nishioka, Y., Nunami, S., Yamauchi, H., Fujita, M., Yamazaki, S., Yamamoto, M., Katagiri, C., Mukai, H., Matsuzaki, H., Gakuhari, T., Takigami, M. &amp; Yoneda, M. Pleistocene human remains from Shiraho-Saonetabaru cave on Ishigaki island, Okinawa, Japan and their radiocarbon dating. </w:t>
      </w:r>
      <w:r w:rsidRPr="00004819">
        <w:rPr>
          <w:rFonts w:ascii="Times New Roman" w:hAnsi="Times New Roman" w:cs="Times New Roman"/>
          <w:i/>
          <w:iCs/>
          <w:sz w:val="22"/>
          <w:szCs w:val="22"/>
          <w:lang w:val="en-US"/>
        </w:rPr>
        <w:t>Anthropol. Sci</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118</w:t>
      </w:r>
      <w:r w:rsidRPr="00004819">
        <w:rPr>
          <w:rFonts w:ascii="Times New Roman" w:hAnsi="Times New Roman" w:cs="Times New Roman"/>
          <w:sz w:val="22"/>
          <w:szCs w:val="22"/>
          <w:lang w:val="en-US"/>
        </w:rPr>
        <w:t xml:space="preserve">, 173-183 (2010). </w:t>
      </w:r>
    </w:p>
  </w:endnote>
  <w:endnote w:id="18">
    <w:p w14:paraId="69EA65E0" w14:textId="593239BC"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Pearson, R. </w:t>
      </w:r>
      <w:r w:rsidRPr="00004819">
        <w:rPr>
          <w:rFonts w:ascii="Times New Roman" w:hAnsi="Times New Roman" w:cs="Times New Roman"/>
          <w:i/>
          <w:iCs/>
          <w:sz w:val="22"/>
          <w:szCs w:val="22"/>
          <w:lang w:val="en-US"/>
        </w:rPr>
        <w:t>Ancient Ryukyu: An Archaeological Study of Island Communities</w:t>
      </w:r>
      <w:r w:rsidRPr="00004819">
        <w:rPr>
          <w:rFonts w:ascii="Times New Roman" w:hAnsi="Times New Roman" w:cs="Times New Roman"/>
          <w:sz w:val="22"/>
          <w:szCs w:val="22"/>
          <w:lang w:val="en-US"/>
        </w:rPr>
        <w:t xml:space="preserve"> (Univ. of Hawai‘i Press, 2013).</w:t>
      </w:r>
    </w:p>
  </w:endnote>
  <w:endnote w:id="19">
    <w:p w14:paraId="3BEC2BD4" w14:textId="2D49D7BC"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 xml:space="preserve">Summerhayes, G.R. &amp; Anderson, A. An Austronesian presence in southern Japan: early occupation in the Yaeyama islands. </w:t>
      </w:r>
      <w:r w:rsidRPr="00004819">
        <w:rPr>
          <w:rFonts w:ascii="Times New Roman" w:hAnsi="Times New Roman" w:cs="Times New Roman"/>
          <w:i/>
          <w:iCs/>
          <w:sz w:val="22"/>
          <w:szCs w:val="22"/>
          <w:lang w:val="en-US"/>
        </w:rPr>
        <w:t>Bull. Indo-Pac. Prehist. Assoc</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29</w:t>
      </w:r>
      <w:r w:rsidRPr="00004819">
        <w:rPr>
          <w:rFonts w:ascii="Times New Roman" w:hAnsi="Times New Roman" w:cs="Times New Roman"/>
          <w:sz w:val="22"/>
          <w:szCs w:val="22"/>
          <w:lang w:val="en-US"/>
        </w:rPr>
        <w:t>, 76-91 (2009).</w:t>
      </w:r>
    </w:p>
  </w:endnote>
  <w:endnote w:id="20">
    <w:p w14:paraId="0A1F39A9" w14:textId="7B8E76DB" w:rsidR="00BB6F09" w:rsidRPr="00004819" w:rsidRDefault="00BB6F09" w:rsidP="00004819">
      <w:pPr>
        <w:tabs>
          <w:tab w:val="left" w:pos="720"/>
        </w:tabs>
        <w:spacing w:line="360" w:lineRule="auto"/>
        <w:rPr>
          <w:sz w:val="22"/>
          <w:szCs w:val="22"/>
          <w:lang w:val="en-US"/>
        </w:rPr>
      </w:pPr>
      <w:r w:rsidRPr="00004819">
        <w:rPr>
          <w:rStyle w:val="EndnoteReference"/>
          <w:sz w:val="22"/>
          <w:szCs w:val="22"/>
        </w:rPr>
        <w:endnoteRef/>
      </w:r>
      <w:r w:rsidRPr="00004819">
        <w:rPr>
          <w:sz w:val="22"/>
          <w:szCs w:val="22"/>
        </w:rPr>
        <w:t xml:space="preserve"> </w:t>
      </w:r>
      <w:r w:rsidRPr="00004819">
        <w:rPr>
          <w:sz w:val="22"/>
          <w:szCs w:val="22"/>
          <w:lang w:val="en-US"/>
        </w:rPr>
        <w:t xml:space="preserve">Hudson, M.J. ‘Austronesian’ and ‘Jōmon’ identities in the Neolithic of the Ryukyu islands. </w:t>
      </w:r>
      <w:r w:rsidRPr="00004819">
        <w:rPr>
          <w:i/>
          <w:sz w:val="22"/>
          <w:szCs w:val="22"/>
          <w:lang w:val="en-US"/>
        </w:rPr>
        <w:t>Doc. Praehist.</w:t>
      </w:r>
      <w:r w:rsidRPr="00004819">
        <w:rPr>
          <w:sz w:val="22"/>
          <w:szCs w:val="22"/>
          <w:lang w:val="en-US"/>
        </w:rPr>
        <w:t xml:space="preserve"> </w:t>
      </w:r>
      <w:r w:rsidRPr="00004819">
        <w:rPr>
          <w:b/>
          <w:bCs/>
          <w:sz w:val="22"/>
          <w:szCs w:val="22"/>
          <w:lang w:val="en-US"/>
        </w:rPr>
        <w:t>29</w:t>
      </w:r>
      <w:r w:rsidRPr="00004819">
        <w:rPr>
          <w:sz w:val="22"/>
          <w:szCs w:val="22"/>
          <w:lang w:val="en-US"/>
        </w:rPr>
        <w:t xml:space="preserve">, 257-262. </w:t>
      </w:r>
    </w:p>
  </w:endnote>
  <w:endnote w:id="21">
    <w:p w14:paraId="313C176A" w14:textId="16219441" w:rsidR="00BB6F09" w:rsidRPr="00004819" w:rsidRDefault="00BB6F09" w:rsidP="00004819">
      <w:pPr>
        <w:tabs>
          <w:tab w:val="left" w:pos="810"/>
        </w:tabs>
        <w:spacing w:line="360" w:lineRule="auto"/>
        <w:rPr>
          <w:sz w:val="22"/>
          <w:szCs w:val="22"/>
          <w:lang w:val="en-US"/>
        </w:rPr>
      </w:pPr>
      <w:r w:rsidRPr="00004819">
        <w:rPr>
          <w:rStyle w:val="EndnoteReference"/>
          <w:sz w:val="22"/>
          <w:szCs w:val="22"/>
        </w:rPr>
        <w:endnoteRef/>
      </w:r>
      <w:r w:rsidRPr="00004819">
        <w:rPr>
          <w:sz w:val="22"/>
          <w:szCs w:val="22"/>
        </w:rPr>
        <w:t xml:space="preserve"> </w:t>
      </w:r>
      <w:r w:rsidRPr="00004819">
        <w:rPr>
          <w:sz w:val="22"/>
          <w:szCs w:val="22"/>
          <w:lang w:val="en-US"/>
        </w:rPr>
        <w:t xml:space="preserve">Hudson, M.J. in </w:t>
      </w:r>
      <w:r w:rsidRPr="00004819">
        <w:rPr>
          <w:i/>
          <w:sz w:val="22"/>
          <w:szCs w:val="22"/>
          <w:lang w:val="en-US"/>
        </w:rPr>
        <w:t>New Perspectives in Southeast Asian and Pacific Prehistory</w:t>
      </w:r>
      <w:r w:rsidRPr="00004819">
        <w:rPr>
          <w:sz w:val="22"/>
          <w:szCs w:val="22"/>
          <w:lang w:val="en-US"/>
        </w:rPr>
        <w:t xml:space="preserve"> (ed Piper, P., H. Matsumura, H. &amp; Bulbeck, D.) 189-199 (Canberra: ANU Press, 2017).</w:t>
      </w:r>
    </w:p>
  </w:endnote>
  <w:endnote w:id="22">
    <w:p w14:paraId="3FBCFAE0" w14:textId="6EA9C6E9" w:rsidR="00BB6F09" w:rsidRPr="00004819" w:rsidRDefault="00BB6F09" w:rsidP="00004819">
      <w:pPr>
        <w:pStyle w:val="EndnoteText"/>
        <w:spacing w:line="360" w:lineRule="auto"/>
        <w:rPr>
          <w:rFonts w:ascii="Times New Roman" w:hAnsi="Times New Roman" w:cs="Times New Roman"/>
          <w:sz w:val="22"/>
          <w:szCs w:val="22"/>
          <w:lang w:val="en-US"/>
        </w:rPr>
      </w:pPr>
      <w:r w:rsidRPr="00004819">
        <w:rPr>
          <w:rStyle w:val="EndnoteReference"/>
          <w:rFonts w:ascii="Times New Roman" w:hAnsi="Times New Roman" w:cs="Times New Roman"/>
          <w:sz w:val="22"/>
          <w:szCs w:val="22"/>
        </w:rPr>
        <w:endnoteRef/>
      </w:r>
      <w:r w:rsidRPr="00004819">
        <w:rPr>
          <w:rFonts w:ascii="Times New Roman" w:hAnsi="Times New Roman" w:cs="Times New Roman"/>
          <w:sz w:val="22"/>
          <w:szCs w:val="22"/>
        </w:rPr>
        <w:t xml:space="preserve"> </w:t>
      </w:r>
      <w:r w:rsidRPr="00004819">
        <w:rPr>
          <w:rFonts w:ascii="Times New Roman" w:hAnsi="Times New Roman" w:cs="Times New Roman"/>
          <w:sz w:val="22"/>
          <w:szCs w:val="22"/>
          <w:lang w:val="en-US"/>
        </w:rPr>
        <w:t>Asato, S. The distribution of Tridacna shell adzes in the southern Ryukyu islands</w:t>
      </w:r>
      <w:r w:rsidRPr="00004819">
        <w:rPr>
          <w:rFonts w:ascii="Times New Roman" w:hAnsi="Times New Roman" w:cs="Times New Roman"/>
          <w:i/>
          <w:iCs/>
          <w:sz w:val="22"/>
          <w:szCs w:val="22"/>
          <w:lang w:val="en-US"/>
        </w:rPr>
        <w:t>. Bull. Indo-Pac. Prehist. Assoc</w:t>
      </w:r>
      <w:r w:rsidRPr="00004819">
        <w:rPr>
          <w:rFonts w:ascii="Times New Roman" w:hAnsi="Times New Roman" w:cs="Times New Roman"/>
          <w:sz w:val="22"/>
          <w:szCs w:val="22"/>
          <w:lang w:val="en-US"/>
        </w:rPr>
        <w:t xml:space="preserve">. </w:t>
      </w:r>
      <w:r w:rsidRPr="00004819">
        <w:rPr>
          <w:rFonts w:ascii="Times New Roman" w:hAnsi="Times New Roman" w:cs="Times New Roman"/>
          <w:b/>
          <w:bCs/>
          <w:sz w:val="22"/>
          <w:szCs w:val="22"/>
          <w:lang w:val="en-US"/>
        </w:rPr>
        <w:t>10</w:t>
      </w:r>
      <w:r w:rsidRPr="00004819">
        <w:rPr>
          <w:rFonts w:ascii="Times New Roman" w:hAnsi="Times New Roman" w:cs="Times New Roman"/>
          <w:sz w:val="22"/>
          <w:szCs w:val="22"/>
          <w:lang w:val="en-US"/>
        </w:rPr>
        <w:t xml:space="preserve">, 282-291 (1991).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1307436"/>
      <w:docPartObj>
        <w:docPartGallery w:val="Page Numbers (Bottom of Page)"/>
        <w:docPartUnique/>
      </w:docPartObj>
    </w:sdtPr>
    <w:sdtEndPr>
      <w:rPr>
        <w:rStyle w:val="PageNumber"/>
      </w:rPr>
    </w:sdtEndPr>
    <w:sdtContent>
      <w:p w14:paraId="01657624" w14:textId="2CEF6D08" w:rsidR="00BB6F09" w:rsidRDefault="00BB6F09" w:rsidP="00BB6F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E8E352" w14:textId="77777777" w:rsidR="00BB6F09" w:rsidRDefault="00BB6F09" w:rsidP="007F25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0322458"/>
      <w:docPartObj>
        <w:docPartGallery w:val="Page Numbers (Bottom of Page)"/>
        <w:docPartUnique/>
      </w:docPartObj>
    </w:sdtPr>
    <w:sdtEndPr>
      <w:rPr>
        <w:rStyle w:val="PageNumber"/>
      </w:rPr>
    </w:sdtEndPr>
    <w:sdtContent>
      <w:p w14:paraId="3C840CC2" w14:textId="491B3586" w:rsidR="00BB6F09" w:rsidRDefault="00BB6F09" w:rsidP="00BB6F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EAB72" w14:textId="77777777" w:rsidR="00BB6F09" w:rsidRDefault="00BB6F09" w:rsidP="007F25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45AEF" w14:textId="77777777" w:rsidR="00AE23EB" w:rsidRDefault="00AE23EB" w:rsidP="00394DBF">
      <w:r>
        <w:separator/>
      </w:r>
    </w:p>
  </w:footnote>
  <w:footnote w:type="continuationSeparator" w:id="0">
    <w:p w14:paraId="38A92545" w14:textId="77777777" w:rsidR="00AE23EB" w:rsidRDefault="00AE23EB" w:rsidP="00394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52AFB"/>
    <w:multiLevelType w:val="hybridMultilevel"/>
    <w:tmpl w:val="34D2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AE3"/>
    <w:rsid w:val="00004819"/>
    <w:rsid w:val="000870D7"/>
    <w:rsid w:val="00095DD8"/>
    <w:rsid w:val="000B0C18"/>
    <w:rsid w:val="000F3409"/>
    <w:rsid w:val="001002CF"/>
    <w:rsid w:val="0010615D"/>
    <w:rsid w:val="00140454"/>
    <w:rsid w:val="001A736A"/>
    <w:rsid w:val="001F2D11"/>
    <w:rsid w:val="00282AF1"/>
    <w:rsid w:val="00290148"/>
    <w:rsid w:val="002A224D"/>
    <w:rsid w:val="002A3362"/>
    <w:rsid w:val="002C0D62"/>
    <w:rsid w:val="002C605E"/>
    <w:rsid w:val="002E0B90"/>
    <w:rsid w:val="002E4E8C"/>
    <w:rsid w:val="003068BF"/>
    <w:rsid w:val="003073C1"/>
    <w:rsid w:val="00314812"/>
    <w:rsid w:val="0031488C"/>
    <w:rsid w:val="00325814"/>
    <w:rsid w:val="0032692F"/>
    <w:rsid w:val="00336AE9"/>
    <w:rsid w:val="00341D79"/>
    <w:rsid w:val="00347E94"/>
    <w:rsid w:val="00372EE3"/>
    <w:rsid w:val="00394DBF"/>
    <w:rsid w:val="003A10B5"/>
    <w:rsid w:val="003A385F"/>
    <w:rsid w:val="003B64B5"/>
    <w:rsid w:val="003E5992"/>
    <w:rsid w:val="00416EB5"/>
    <w:rsid w:val="00445FE2"/>
    <w:rsid w:val="004619A2"/>
    <w:rsid w:val="0046543B"/>
    <w:rsid w:val="004A00BE"/>
    <w:rsid w:val="004B05B0"/>
    <w:rsid w:val="004D1EE5"/>
    <w:rsid w:val="004E1FF3"/>
    <w:rsid w:val="004F429C"/>
    <w:rsid w:val="004F4E72"/>
    <w:rsid w:val="00531696"/>
    <w:rsid w:val="0056466D"/>
    <w:rsid w:val="005A2E07"/>
    <w:rsid w:val="005A4688"/>
    <w:rsid w:val="006157A2"/>
    <w:rsid w:val="00641EAB"/>
    <w:rsid w:val="006836D7"/>
    <w:rsid w:val="00686DEC"/>
    <w:rsid w:val="00690D5C"/>
    <w:rsid w:val="00696BBC"/>
    <w:rsid w:val="006A14CE"/>
    <w:rsid w:val="006E52F9"/>
    <w:rsid w:val="006F263F"/>
    <w:rsid w:val="00706304"/>
    <w:rsid w:val="00733D7D"/>
    <w:rsid w:val="00735B80"/>
    <w:rsid w:val="00774441"/>
    <w:rsid w:val="00792753"/>
    <w:rsid w:val="007A4401"/>
    <w:rsid w:val="007D6749"/>
    <w:rsid w:val="007E752B"/>
    <w:rsid w:val="007F2531"/>
    <w:rsid w:val="007F7B4B"/>
    <w:rsid w:val="0081463B"/>
    <w:rsid w:val="00846213"/>
    <w:rsid w:val="00871BD2"/>
    <w:rsid w:val="00894265"/>
    <w:rsid w:val="008B70C2"/>
    <w:rsid w:val="008E1921"/>
    <w:rsid w:val="009004BE"/>
    <w:rsid w:val="00902AA0"/>
    <w:rsid w:val="00926AE3"/>
    <w:rsid w:val="00936A91"/>
    <w:rsid w:val="00941ADB"/>
    <w:rsid w:val="00956FE7"/>
    <w:rsid w:val="009A6108"/>
    <w:rsid w:val="009E0E15"/>
    <w:rsid w:val="00A05BCA"/>
    <w:rsid w:val="00A17197"/>
    <w:rsid w:val="00A249F4"/>
    <w:rsid w:val="00A33B4C"/>
    <w:rsid w:val="00A437C6"/>
    <w:rsid w:val="00A52932"/>
    <w:rsid w:val="00A55865"/>
    <w:rsid w:val="00A770B8"/>
    <w:rsid w:val="00A91BF2"/>
    <w:rsid w:val="00AA095C"/>
    <w:rsid w:val="00AA548C"/>
    <w:rsid w:val="00AA6FB9"/>
    <w:rsid w:val="00AD6562"/>
    <w:rsid w:val="00AE23EB"/>
    <w:rsid w:val="00AE4C68"/>
    <w:rsid w:val="00AF08E2"/>
    <w:rsid w:val="00B000CE"/>
    <w:rsid w:val="00B6120B"/>
    <w:rsid w:val="00BB6F09"/>
    <w:rsid w:val="00C104A1"/>
    <w:rsid w:val="00C115DD"/>
    <w:rsid w:val="00C33F2D"/>
    <w:rsid w:val="00C57224"/>
    <w:rsid w:val="00CB2CDF"/>
    <w:rsid w:val="00CD499A"/>
    <w:rsid w:val="00CD76E5"/>
    <w:rsid w:val="00CE26AA"/>
    <w:rsid w:val="00D403AD"/>
    <w:rsid w:val="00D42CD0"/>
    <w:rsid w:val="00D4435B"/>
    <w:rsid w:val="00D45F49"/>
    <w:rsid w:val="00D67EF8"/>
    <w:rsid w:val="00D70EA3"/>
    <w:rsid w:val="00D74B4C"/>
    <w:rsid w:val="00D8050C"/>
    <w:rsid w:val="00E11924"/>
    <w:rsid w:val="00E143FA"/>
    <w:rsid w:val="00E43565"/>
    <w:rsid w:val="00E45F8A"/>
    <w:rsid w:val="00E73924"/>
    <w:rsid w:val="00EB632B"/>
    <w:rsid w:val="00EC3361"/>
    <w:rsid w:val="00ED74EB"/>
    <w:rsid w:val="00F07535"/>
    <w:rsid w:val="00F16868"/>
    <w:rsid w:val="00F17E72"/>
    <w:rsid w:val="00F341F9"/>
    <w:rsid w:val="00F45272"/>
    <w:rsid w:val="00F55510"/>
    <w:rsid w:val="00F56D94"/>
    <w:rsid w:val="00F63FF4"/>
    <w:rsid w:val="00F91949"/>
    <w:rsid w:val="00FB3219"/>
    <w:rsid w:val="00FB71DE"/>
    <w:rsid w:val="00FD4471"/>
    <w:rsid w:val="00FE19E7"/>
    <w:rsid w:val="00FE5258"/>
    <w:rsid w:val="00FF5208"/>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D9312"/>
  <w15:chartTrackingRefBased/>
  <w15:docId w15:val="{943DEE12-D347-8648-9665-BAFF6D66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B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361"/>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565"/>
    <w:pPr>
      <w:ind w:left="720"/>
      <w:contextualSpacing/>
    </w:pPr>
    <w:rPr>
      <w:rFonts w:asciiTheme="minorHAnsi" w:eastAsiaTheme="minorEastAsia" w:hAnsiTheme="minorHAnsi" w:cstheme="minorBidi"/>
      <w:lang w:eastAsia="ja-JP"/>
    </w:rPr>
  </w:style>
  <w:style w:type="paragraph" w:styleId="EndnoteText">
    <w:name w:val="endnote text"/>
    <w:basedOn w:val="Normal"/>
    <w:link w:val="EndnoteTextChar"/>
    <w:uiPriority w:val="99"/>
    <w:semiHidden/>
    <w:unhideWhenUsed/>
    <w:rsid w:val="00394DBF"/>
    <w:rPr>
      <w:rFonts w:asciiTheme="minorHAnsi" w:eastAsiaTheme="minorEastAsia" w:hAnsiTheme="minorHAnsi" w:cstheme="minorBidi"/>
      <w:sz w:val="20"/>
      <w:szCs w:val="20"/>
      <w:lang w:eastAsia="ja-JP"/>
    </w:rPr>
  </w:style>
  <w:style w:type="character" w:customStyle="1" w:styleId="EndnoteTextChar">
    <w:name w:val="Endnote Text Char"/>
    <w:basedOn w:val="DefaultParagraphFont"/>
    <w:link w:val="EndnoteText"/>
    <w:uiPriority w:val="99"/>
    <w:semiHidden/>
    <w:rsid w:val="00394DBF"/>
    <w:rPr>
      <w:sz w:val="20"/>
      <w:szCs w:val="20"/>
    </w:rPr>
  </w:style>
  <w:style w:type="character" w:styleId="EndnoteReference">
    <w:name w:val="endnote reference"/>
    <w:basedOn w:val="DefaultParagraphFont"/>
    <w:uiPriority w:val="99"/>
    <w:semiHidden/>
    <w:unhideWhenUsed/>
    <w:rsid w:val="00394DBF"/>
    <w:rPr>
      <w:vertAlign w:val="superscript"/>
    </w:rPr>
  </w:style>
  <w:style w:type="paragraph" w:styleId="FootnoteText">
    <w:name w:val="footnote text"/>
    <w:basedOn w:val="Normal"/>
    <w:link w:val="FootnoteTextChar"/>
    <w:uiPriority w:val="99"/>
    <w:unhideWhenUsed/>
    <w:rsid w:val="00871BD2"/>
    <w:pPr>
      <w:widowControl w:val="0"/>
      <w:snapToGrid w:val="0"/>
    </w:pPr>
    <w:rPr>
      <w:rFonts w:asciiTheme="minorHAnsi" w:eastAsiaTheme="minorEastAsia" w:hAnsiTheme="minorHAnsi" w:cstheme="minorBidi"/>
      <w:kern w:val="2"/>
      <w:lang w:val="en-US" w:eastAsia="ja-JP"/>
    </w:rPr>
  </w:style>
  <w:style w:type="character" w:customStyle="1" w:styleId="FootnoteTextChar">
    <w:name w:val="Footnote Text Char"/>
    <w:basedOn w:val="DefaultParagraphFont"/>
    <w:link w:val="FootnoteText"/>
    <w:uiPriority w:val="99"/>
    <w:rsid w:val="00871BD2"/>
    <w:rPr>
      <w:kern w:val="2"/>
      <w:lang w:val="en-US"/>
    </w:rPr>
  </w:style>
  <w:style w:type="character" w:styleId="FootnoteReference">
    <w:name w:val="footnote reference"/>
    <w:basedOn w:val="DefaultParagraphFont"/>
    <w:uiPriority w:val="99"/>
    <w:unhideWhenUsed/>
    <w:rsid w:val="00871BD2"/>
    <w:rPr>
      <w:vertAlign w:val="superscript"/>
    </w:rPr>
  </w:style>
  <w:style w:type="paragraph" w:styleId="NoSpacing">
    <w:name w:val="No Spacing"/>
    <w:uiPriority w:val="1"/>
    <w:qFormat/>
    <w:rsid w:val="00D42CD0"/>
    <w:rPr>
      <w:lang w:val="de-DE"/>
    </w:rPr>
  </w:style>
  <w:style w:type="character" w:styleId="CommentReference">
    <w:name w:val="annotation reference"/>
    <w:basedOn w:val="DefaultParagraphFont"/>
    <w:uiPriority w:val="99"/>
    <w:semiHidden/>
    <w:unhideWhenUsed/>
    <w:rsid w:val="00AA6FB9"/>
    <w:rPr>
      <w:sz w:val="16"/>
      <w:szCs w:val="16"/>
    </w:rPr>
  </w:style>
  <w:style w:type="paragraph" w:styleId="CommentText">
    <w:name w:val="annotation text"/>
    <w:basedOn w:val="Normal"/>
    <w:link w:val="CommentTextChar"/>
    <w:uiPriority w:val="99"/>
    <w:semiHidden/>
    <w:unhideWhenUsed/>
    <w:rsid w:val="00AA6FB9"/>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semiHidden/>
    <w:rsid w:val="00AA6FB9"/>
    <w:rPr>
      <w:sz w:val="20"/>
      <w:szCs w:val="20"/>
    </w:rPr>
  </w:style>
  <w:style w:type="paragraph" w:styleId="CommentSubject">
    <w:name w:val="annotation subject"/>
    <w:basedOn w:val="CommentText"/>
    <w:next w:val="CommentText"/>
    <w:link w:val="CommentSubjectChar"/>
    <w:uiPriority w:val="99"/>
    <w:semiHidden/>
    <w:unhideWhenUsed/>
    <w:rsid w:val="00AA6FB9"/>
    <w:rPr>
      <w:b/>
      <w:bCs/>
    </w:rPr>
  </w:style>
  <w:style w:type="character" w:customStyle="1" w:styleId="CommentSubjectChar">
    <w:name w:val="Comment Subject Char"/>
    <w:basedOn w:val="CommentTextChar"/>
    <w:link w:val="CommentSubject"/>
    <w:uiPriority w:val="99"/>
    <w:semiHidden/>
    <w:rsid w:val="00AA6FB9"/>
    <w:rPr>
      <w:b/>
      <w:bCs/>
      <w:sz w:val="20"/>
      <w:szCs w:val="20"/>
    </w:rPr>
  </w:style>
  <w:style w:type="paragraph" w:styleId="BalloonText">
    <w:name w:val="Balloon Text"/>
    <w:basedOn w:val="Normal"/>
    <w:link w:val="BalloonTextChar"/>
    <w:uiPriority w:val="99"/>
    <w:semiHidden/>
    <w:unhideWhenUsed/>
    <w:rsid w:val="00AA6FB9"/>
    <w:rPr>
      <w:rFonts w:eastAsiaTheme="minorEastAsia"/>
      <w:sz w:val="18"/>
      <w:szCs w:val="18"/>
      <w:lang w:eastAsia="ja-JP"/>
    </w:rPr>
  </w:style>
  <w:style w:type="character" w:customStyle="1" w:styleId="BalloonTextChar">
    <w:name w:val="Balloon Text Char"/>
    <w:basedOn w:val="DefaultParagraphFont"/>
    <w:link w:val="BalloonText"/>
    <w:uiPriority w:val="99"/>
    <w:semiHidden/>
    <w:rsid w:val="00AA6FB9"/>
    <w:rPr>
      <w:rFonts w:ascii="Times New Roman" w:hAnsi="Times New Roman" w:cs="Times New Roman"/>
      <w:sz w:val="18"/>
      <w:szCs w:val="18"/>
    </w:rPr>
  </w:style>
  <w:style w:type="paragraph" w:styleId="NormalWeb">
    <w:name w:val="Normal (Web)"/>
    <w:basedOn w:val="Normal"/>
    <w:uiPriority w:val="99"/>
    <w:unhideWhenUsed/>
    <w:rsid w:val="002A3362"/>
    <w:pPr>
      <w:spacing w:before="100" w:beforeAutospacing="1" w:after="100" w:afterAutospacing="1"/>
    </w:pPr>
  </w:style>
  <w:style w:type="character" w:styleId="Hyperlink">
    <w:name w:val="Hyperlink"/>
    <w:basedOn w:val="DefaultParagraphFont"/>
    <w:uiPriority w:val="99"/>
    <w:semiHidden/>
    <w:unhideWhenUsed/>
    <w:rsid w:val="006A14CE"/>
    <w:rPr>
      <w:color w:val="0000FF"/>
      <w:u w:val="single"/>
    </w:rPr>
  </w:style>
  <w:style w:type="character" w:styleId="LineNumber">
    <w:name w:val="line number"/>
    <w:basedOn w:val="DefaultParagraphFont"/>
    <w:uiPriority w:val="99"/>
    <w:semiHidden/>
    <w:unhideWhenUsed/>
    <w:rsid w:val="007F2531"/>
  </w:style>
  <w:style w:type="paragraph" w:styleId="Footer">
    <w:name w:val="footer"/>
    <w:basedOn w:val="Normal"/>
    <w:link w:val="FooterChar"/>
    <w:uiPriority w:val="99"/>
    <w:unhideWhenUsed/>
    <w:rsid w:val="007F2531"/>
    <w:pPr>
      <w:tabs>
        <w:tab w:val="center" w:pos="4513"/>
        <w:tab w:val="right" w:pos="9026"/>
      </w:tabs>
    </w:pPr>
  </w:style>
  <w:style w:type="character" w:customStyle="1" w:styleId="FooterChar">
    <w:name w:val="Footer Char"/>
    <w:basedOn w:val="DefaultParagraphFont"/>
    <w:link w:val="Footer"/>
    <w:uiPriority w:val="99"/>
    <w:rsid w:val="007F2531"/>
    <w:rPr>
      <w:rFonts w:ascii="Times New Roman" w:eastAsia="Times New Roman" w:hAnsi="Times New Roman" w:cs="Times New Roman"/>
      <w:lang w:eastAsia="zh-CN"/>
    </w:rPr>
  </w:style>
  <w:style w:type="character" w:styleId="PageNumber">
    <w:name w:val="page number"/>
    <w:basedOn w:val="DefaultParagraphFont"/>
    <w:uiPriority w:val="99"/>
    <w:semiHidden/>
    <w:unhideWhenUsed/>
    <w:rsid w:val="007F2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667734">
      <w:bodyDiv w:val="1"/>
      <w:marLeft w:val="0"/>
      <w:marRight w:val="0"/>
      <w:marTop w:val="0"/>
      <w:marBottom w:val="0"/>
      <w:divBdr>
        <w:top w:val="none" w:sz="0" w:space="0" w:color="auto"/>
        <w:left w:val="none" w:sz="0" w:space="0" w:color="auto"/>
        <w:bottom w:val="none" w:sz="0" w:space="0" w:color="auto"/>
        <w:right w:val="none" w:sz="0" w:space="0" w:color="auto"/>
      </w:divBdr>
    </w:div>
    <w:div w:id="581261176">
      <w:bodyDiv w:val="1"/>
      <w:marLeft w:val="0"/>
      <w:marRight w:val="0"/>
      <w:marTop w:val="0"/>
      <w:marBottom w:val="0"/>
      <w:divBdr>
        <w:top w:val="none" w:sz="0" w:space="0" w:color="auto"/>
        <w:left w:val="none" w:sz="0" w:space="0" w:color="auto"/>
        <w:bottom w:val="none" w:sz="0" w:space="0" w:color="auto"/>
        <w:right w:val="none" w:sz="0" w:space="0" w:color="auto"/>
      </w:divBdr>
      <w:divsChild>
        <w:div w:id="253824275">
          <w:marLeft w:val="0"/>
          <w:marRight w:val="0"/>
          <w:marTop w:val="0"/>
          <w:marBottom w:val="0"/>
          <w:divBdr>
            <w:top w:val="none" w:sz="0" w:space="0" w:color="auto"/>
            <w:left w:val="none" w:sz="0" w:space="0" w:color="auto"/>
            <w:bottom w:val="none" w:sz="0" w:space="0" w:color="auto"/>
            <w:right w:val="none" w:sz="0" w:space="0" w:color="auto"/>
          </w:divBdr>
          <w:divsChild>
            <w:div w:id="1824346044">
              <w:marLeft w:val="0"/>
              <w:marRight w:val="0"/>
              <w:marTop w:val="0"/>
              <w:marBottom w:val="0"/>
              <w:divBdr>
                <w:top w:val="none" w:sz="0" w:space="0" w:color="auto"/>
                <w:left w:val="none" w:sz="0" w:space="0" w:color="auto"/>
                <w:bottom w:val="none" w:sz="0" w:space="0" w:color="auto"/>
                <w:right w:val="none" w:sz="0" w:space="0" w:color="auto"/>
              </w:divBdr>
              <w:divsChild>
                <w:div w:id="239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86051">
      <w:bodyDiv w:val="1"/>
      <w:marLeft w:val="0"/>
      <w:marRight w:val="0"/>
      <w:marTop w:val="0"/>
      <w:marBottom w:val="0"/>
      <w:divBdr>
        <w:top w:val="none" w:sz="0" w:space="0" w:color="auto"/>
        <w:left w:val="none" w:sz="0" w:space="0" w:color="auto"/>
        <w:bottom w:val="none" w:sz="0" w:space="0" w:color="auto"/>
        <w:right w:val="none" w:sz="0" w:space="0" w:color="auto"/>
      </w:divBdr>
      <w:divsChild>
        <w:div w:id="1297099413">
          <w:marLeft w:val="0"/>
          <w:marRight w:val="0"/>
          <w:marTop w:val="0"/>
          <w:marBottom w:val="0"/>
          <w:divBdr>
            <w:top w:val="none" w:sz="0" w:space="0" w:color="auto"/>
            <w:left w:val="none" w:sz="0" w:space="0" w:color="auto"/>
            <w:bottom w:val="none" w:sz="0" w:space="0" w:color="auto"/>
            <w:right w:val="none" w:sz="0" w:space="0" w:color="auto"/>
          </w:divBdr>
          <w:divsChild>
            <w:div w:id="1568372603">
              <w:marLeft w:val="0"/>
              <w:marRight w:val="0"/>
              <w:marTop w:val="0"/>
              <w:marBottom w:val="0"/>
              <w:divBdr>
                <w:top w:val="none" w:sz="0" w:space="0" w:color="auto"/>
                <w:left w:val="none" w:sz="0" w:space="0" w:color="auto"/>
                <w:bottom w:val="none" w:sz="0" w:space="0" w:color="auto"/>
                <w:right w:val="none" w:sz="0" w:space="0" w:color="auto"/>
              </w:divBdr>
              <w:divsChild>
                <w:div w:id="8188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56319">
      <w:bodyDiv w:val="1"/>
      <w:marLeft w:val="0"/>
      <w:marRight w:val="0"/>
      <w:marTop w:val="0"/>
      <w:marBottom w:val="0"/>
      <w:divBdr>
        <w:top w:val="none" w:sz="0" w:space="0" w:color="auto"/>
        <w:left w:val="none" w:sz="0" w:space="0" w:color="auto"/>
        <w:bottom w:val="none" w:sz="0" w:space="0" w:color="auto"/>
        <w:right w:val="none" w:sz="0" w:space="0" w:color="auto"/>
      </w:divBdr>
    </w:div>
    <w:div w:id="1087845398">
      <w:bodyDiv w:val="1"/>
      <w:marLeft w:val="0"/>
      <w:marRight w:val="0"/>
      <w:marTop w:val="0"/>
      <w:marBottom w:val="0"/>
      <w:divBdr>
        <w:top w:val="none" w:sz="0" w:space="0" w:color="auto"/>
        <w:left w:val="none" w:sz="0" w:space="0" w:color="auto"/>
        <w:bottom w:val="none" w:sz="0" w:space="0" w:color="auto"/>
        <w:right w:val="none" w:sz="0" w:space="0" w:color="auto"/>
      </w:divBdr>
      <w:divsChild>
        <w:div w:id="1736201797">
          <w:marLeft w:val="0"/>
          <w:marRight w:val="0"/>
          <w:marTop w:val="0"/>
          <w:marBottom w:val="0"/>
          <w:divBdr>
            <w:top w:val="none" w:sz="0" w:space="0" w:color="auto"/>
            <w:left w:val="none" w:sz="0" w:space="0" w:color="auto"/>
            <w:bottom w:val="none" w:sz="0" w:space="0" w:color="auto"/>
            <w:right w:val="none" w:sz="0" w:space="0" w:color="auto"/>
          </w:divBdr>
          <w:divsChild>
            <w:div w:id="1854417852">
              <w:marLeft w:val="0"/>
              <w:marRight w:val="0"/>
              <w:marTop w:val="0"/>
              <w:marBottom w:val="0"/>
              <w:divBdr>
                <w:top w:val="none" w:sz="0" w:space="0" w:color="auto"/>
                <w:left w:val="none" w:sz="0" w:space="0" w:color="auto"/>
                <w:bottom w:val="none" w:sz="0" w:space="0" w:color="auto"/>
                <w:right w:val="none" w:sz="0" w:space="0" w:color="auto"/>
              </w:divBdr>
              <w:divsChild>
                <w:div w:id="220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20632">
      <w:bodyDiv w:val="1"/>
      <w:marLeft w:val="0"/>
      <w:marRight w:val="0"/>
      <w:marTop w:val="0"/>
      <w:marBottom w:val="0"/>
      <w:divBdr>
        <w:top w:val="none" w:sz="0" w:space="0" w:color="auto"/>
        <w:left w:val="none" w:sz="0" w:space="0" w:color="auto"/>
        <w:bottom w:val="none" w:sz="0" w:space="0" w:color="auto"/>
        <w:right w:val="none" w:sz="0" w:space="0" w:color="auto"/>
      </w:divBdr>
      <w:divsChild>
        <w:div w:id="482745378">
          <w:marLeft w:val="0"/>
          <w:marRight w:val="0"/>
          <w:marTop w:val="0"/>
          <w:marBottom w:val="0"/>
          <w:divBdr>
            <w:top w:val="none" w:sz="0" w:space="0" w:color="auto"/>
            <w:left w:val="none" w:sz="0" w:space="0" w:color="auto"/>
            <w:bottom w:val="none" w:sz="0" w:space="0" w:color="auto"/>
            <w:right w:val="none" w:sz="0" w:space="0" w:color="auto"/>
          </w:divBdr>
          <w:divsChild>
            <w:div w:id="813180805">
              <w:marLeft w:val="0"/>
              <w:marRight w:val="0"/>
              <w:marTop w:val="0"/>
              <w:marBottom w:val="0"/>
              <w:divBdr>
                <w:top w:val="none" w:sz="0" w:space="0" w:color="auto"/>
                <w:left w:val="none" w:sz="0" w:space="0" w:color="auto"/>
                <w:bottom w:val="none" w:sz="0" w:space="0" w:color="auto"/>
                <w:right w:val="none" w:sz="0" w:space="0" w:color="auto"/>
              </w:divBdr>
              <w:divsChild>
                <w:div w:id="1672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7628">
      <w:bodyDiv w:val="1"/>
      <w:marLeft w:val="0"/>
      <w:marRight w:val="0"/>
      <w:marTop w:val="0"/>
      <w:marBottom w:val="0"/>
      <w:divBdr>
        <w:top w:val="none" w:sz="0" w:space="0" w:color="auto"/>
        <w:left w:val="none" w:sz="0" w:space="0" w:color="auto"/>
        <w:bottom w:val="none" w:sz="0" w:space="0" w:color="auto"/>
        <w:right w:val="none" w:sz="0" w:space="0" w:color="auto"/>
      </w:divBdr>
    </w:div>
    <w:div w:id="2061248332">
      <w:bodyDiv w:val="1"/>
      <w:marLeft w:val="0"/>
      <w:marRight w:val="0"/>
      <w:marTop w:val="0"/>
      <w:marBottom w:val="0"/>
      <w:divBdr>
        <w:top w:val="none" w:sz="0" w:space="0" w:color="auto"/>
        <w:left w:val="none" w:sz="0" w:space="0" w:color="auto"/>
        <w:bottom w:val="none" w:sz="0" w:space="0" w:color="auto"/>
        <w:right w:val="none" w:sz="0" w:space="0" w:color="auto"/>
      </w:divBdr>
      <w:divsChild>
        <w:div w:id="861821738">
          <w:marLeft w:val="0"/>
          <w:marRight w:val="0"/>
          <w:marTop w:val="0"/>
          <w:marBottom w:val="0"/>
          <w:divBdr>
            <w:top w:val="none" w:sz="0" w:space="0" w:color="auto"/>
            <w:left w:val="none" w:sz="0" w:space="0" w:color="auto"/>
            <w:bottom w:val="none" w:sz="0" w:space="0" w:color="auto"/>
            <w:right w:val="none" w:sz="0" w:space="0" w:color="auto"/>
          </w:divBdr>
          <w:divsChild>
            <w:div w:id="425267976">
              <w:marLeft w:val="0"/>
              <w:marRight w:val="0"/>
              <w:marTop w:val="0"/>
              <w:marBottom w:val="0"/>
              <w:divBdr>
                <w:top w:val="none" w:sz="0" w:space="0" w:color="auto"/>
                <w:left w:val="none" w:sz="0" w:space="0" w:color="auto"/>
                <w:bottom w:val="none" w:sz="0" w:space="0" w:color="auto"/>
                <w:right w:val="none" w:sz="0" w:space="0" w:color="auto"/>
              </w:divBdr>
              <w:divsChild>
                <w:div w:id="15287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674</TotalTime>
  <Pages>17</Pages>
  <Words>2343</Words>
  <Characters>13360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martine Robbeets</cp:lastModifiedBy>
  <cp:revision>73</cp:revision>
  <dcterms:created xsi:type="dcterms:W3CDTF">2020-12-31T08:33:00Z</dcterms:created>
  <dcterms:modified xsi:type="dcterms:W3CDTF">2021-02-18T11:46:00Z</dcterms:modified>
</cp:coreProperties>
</file>