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01C4D" w14:textId="77777777" w:rsidR="00AF2686" w:rsidRPr="00B75F64" w:rsidRDefault="00AF2686" w:rsidP="00AF2686">
      <w:pPr>
        <w:rPr>
          <w:color w:val="000000" w:themeColor="text1"/>
          <w:lang w:val="da-DK"/>
        </w:rPr>
      </w:pPr>
      <w:r w:rsidRPr="00B75F64">
        <w:rPr>
          <w:noProof/>
          <w:color w:val="000000" w:themeColor="text1"/>
          <w:lang w:eastAsia="zh-CN"/>
        </w:rPr>
        <w:drawing>
          <wp:inline distT="0" distB="0" distL="0" distR="0" wp14:anchorId="0607229B" wp14:editId="5AC74922">
            <wp:extent cx="3657600" cy="2032635"/>
            <wp:effectExtent l="0" t="0" r="0" b="0"/>
            <wp:docPr id="23" name="图表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 w:rsidRPr="00B75F64">
        <w:rPr>
          <w:rFonts w:eastAsiaTheme="majorEastAsia"/>
          <w:noProof/>
          <w:color w:val="000000" w:themeColor="text1"/>
          <w:lang w:eastAsia="zh-CN"/>
        </w:rPr>
        <w:drawing>
          <wp:inline distT="0" distB="0" distL="0" distR="0" wp14:anchorId="2A4D795D" wp14:editId="7935C0B8">
            <wp:extent cx="3429000" cy="36614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854" cy="367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870C" w14:textId="77777777" w:rsidR="00AF2686" w:rsidRPr="00B75F64" w:rsidRDefault="00AF2686" w:rsidP="00AF2686">
      <w:pPr>
        <w:rPr>
          <w:color w:val="000000" w:themeColor="text1"/>
        </w:rPr>
      </w:pPr>
      <w:r w:rsidRPr="00B75F64">
        <w:rPr>
          <w:color w:val="000000" w:themeColor="text1"/>
        </w:rPr>
        <w:t xml:space="preserve">Revision Figure 1: CD133+ HPCs enhances breast cancer cell proliferation and attenuates apoptosis </w:t>
      </w:r>
      <w:r w:rsidRPr="00B75F64">
        <w:rPr>
          <w:i/>
          <w:iCs/>
          <w:color w:val="000000" w:themeColor="text1"/>
        </w:rPr>
        <w:t>in vitro</w:t>
      </w:r>
    </w:p>
    <w:p w14:paraId="783B9F5D" w14:textId="77777777" w:rsidR="00AF2686" w:rsidRPr="00B75F64" w:rsidRDefault="00AF2686" w:rsidP="00AF2686">
      <w:pPr>
        <w:rPr>
          <w:color w:val="000000" w:themeColor="text1"/>
        </w:rPr>
      </w:pPr>
    </w:p>
    <w:p w14:paraId="225DA1FB" w14:textId="77777777" w:rsidR="00AF2686" w:rsidRPr="00B75F64" w:rsidRDefault="00AF2686" w:rsidP="00AF2686">
      <w:pPr>
        <w:rPr>
          <w:color w:val="000000" w:themeColor="text1"/>
        </w:rPr>
      </w:pPr>
      <w:r w:rsidRPr="00B75F64">
        <w:rPr>
          <w:noProof/>
          <w:color w:val="000000" w:themeColor="text1"/>
          <w:lang w:eastAsia="zh-CN"/>
        </w:rPr>
        <w:drawing>
          <wp:inline distT="0" distB="0" distL="0" distR="0" wp14:anchorId="1E2F4E2E" wp14:editId="17D6ED97">
            <wp:extent cx="2438405" cy="229210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-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22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E2F0" w14:textId="77777777" w:rsidR="00AF2686" w:rsidRPr="00B75F64" w:rsidRDefault="00AF2686" w:rsidP="00AF2686">
      <w:pPr>
        <w:rPr>
          <w:color w:val="000000" w:themeColor="text1"/>
        </w:rPr>
      </w:pPr>
      <w:r w:rsidRPr="00B75F64">
        <w:rPr>
          <w:color w:val="000000" w:themeColor="text1"/>
        </w:rPr>
        <w:t xml:space="preserve">Revision Figure 2: CD133+ HPCs enhance breast cancer cell invasion </w:t>
      </w:r>
      <w:r w:rsidRPr="00B75F64">
        <w:rPr>
          <w:i/>
          <w:iCs/>
          <w:color w:val="000000" w:themeColor="text1"/>
        </w:rPr>
        <w:t>in vitro</w:t>
      </w:r>
      <w:r w:rsidRPr="00B75F64">
        <w:rPr>
          <w:color w:val="000000" w:themeColor="text1"/>
        </w:rPr>
        <w:t>.</w:t>
      </w:r>
    </w:p>
    <w:p w14:paraId="31DDF957" w14:textId="77777777" w:rsidR="00AF2686" w:rsidRPr="00B75F64" w:rsidRDefault="00AF2686" w:rsidP="00AF2686">
      <w:pPr>
        <w:rPr>
          <w:color w:val="000000" w:themeColor="text1"/>
          <w:lang w:val="da-DK"/>
        </w:rPr>
      </w:pPr>
      <w:r w:rsidRPr="00B75F64">
        <w:rPr>
          <w:rFonts w:eastAsiaTheme="majorEastAsia"/>
          <w:noProof/>
          <w:color w:val="000000" w:themeColor="text1"/>
          <w:lang w:eastAsia="zh-CN"/>
        </w:rPr>
        <w:lastRenderedPageBreak/>
        <w:drawing>
          <wp:inline distT="0" distB="0" distL="0" distR="0" wp14:anchorId="2B657A25" wp14:editId="6F0BB16F">
            <wp:extent cx="3383573" cy="1905165"/>
            <wp:effectExtent l="0" t="0" r="762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44AA" w14:textId="77777777" w:rsidR="00AF2686" w:rsidRPr="00B75F64" w:rsidRDefault="00AF2686" w:rsidP="00AF2686">
      <w:pPr>
        <w:rPr>
          <w:color w:val="000000" w:themeColor="text1"/>
          <w:lang w:val="da-DK"/>
        </w:rPr>
      </w:pPr>
      <w:r w:rsidRPr="00B75F64">
        <w:rPr>
          <w:rFonts w:eastAsiaTheme="majorEastAsia"/>
          <w:noProof/>
          <w:color w:val="000000" w:themeColor="text1"/>
          <w:lang w:eastAsia="zh-CN"/>
        </w:rPr>
        <w:drawing>
          <wp:inline distT="0" distB="0" distL="0" distR="0" wp14:anchorId="2EA2E0EB" wp14:editId="399B58EF">
            <wp:extent cx="3383573" cy="1905165"/>
            <wp:effectExtent l="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013B" w14:textId="77777777" w:rsidR="00AF2686" w:rsidRPr="00B75F64" w:rsidRDefault="00AF2686" w:rsidP="00AF2686">
      <w:pPr>
        <w:rPr>
          <w:color w:val="000000" w:themeColor="text1"/>
          <w:lang w:val="da-DK"/>
        </w:rPr>
      </w:pPr>
      <w:r w:rsidRPr="00B75F64">
        <w:rPr>
          <w:rFonts w:eastAsiaTheme="majorEastAsia"/>
          <w:noProof/>
          <w:color w:val="000000" w:themeColor="text1"/>
          <w:lang w:eastAsia="zh-CN"/>
        </w:rPr>
        <w:drawing>
          <wp:inline distT="0" distB="0" distL="0" distR="0" wp14:anchorId="17AFA032" wp14:editId="47A149B2">
            <wp:extent cx="3383573" cy="190516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F540" w14:textId="77777777" w:rsidR="00AF2686" w:rsidRPr="00B75F64" w:rsidRDefault="00AF2686" w:rsidP="00AF2686">
      <w:pPr>
        <w:rPr>
          <w:color w:val="000000" w:themeColor="text1"/>
        </w:rPr>
      </w:pPr>
      <w:r w:rsidRPr="00B75F64">
        <w:rPr>
          <w:color w:val="000000" w:themeColor="text1"/>
        </w:rPr>
        <w:t>Revision Figure 3: CD133+ HPCs promote the EMT process in breast cancer cells.</w:t>
      </w:r>
    </w:p>
    <w:p w14:paraId="250A504C" w14:textId="77777777" w:rsidR="00AF2686" w:rsidRPr="00B75F64" w:rsidRDefault="00AF2686" w:rsidP="00AF2686">
      <w:pPr>
        <w:rPr>
          <w:rFonts w:eastAsiaTheme="majorEastAsia"/>
          <w:color w:val="000000" w:themeColor="text1"/>
          <w:sz w:val="20"/>
          <w:szCs w:val="20"/>
        </w:rPr>
      </w:pPr>
    </w:p>
    <w:p w14:paraId="17B7485B" w14:textId="77777777" w:rsidR="00AF2686" w:rsidRPr="00B75F64" w:rsidRDefault="00AF2686" w:rsidP="00AF2686">
      <w:pPr>
        <w:rPr>
          <w:rFonts w:eastAsiaTheme="majorEastAsia"/>
          <w:color w:val="000000" w:themeColor="text1"/>
          <w:sz w:val="20"/>
          <w:szCs w:val="20"/>
        </w:rPr>
      </w:pPr>
      <w:r w:rsidRPr="00B75F64">
        <w:rPr>
          <w:noProof/>
          <w:color w:val="000000" w:themeColor="text1"/>
          <w:lang w:eastAsia="zh-CN"/>
        </w:rPr>
        <w:drawing>
          <wp:inline distT="0" distB="0" distL="0" distR="0" wp14:anchorId="11951FF6" wp14:editId="20F7E23B">
            <wp:extent cx="3943000" cy="24504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31" cy="245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5F64">
        <w:rPr>
          <w:rFonts w:eastAsiaTheme="majorEastAsia"/>
          <w:color w:val="000000" w:themeColor="text1"/>
          <w:sz w:val="20"/>
          <w:szCs w:val="20"/>
        </w:rPr>
        <w:t xml:space="preserve"> </w:t>
      </w:r>
    </w:p>
    <w:p w14:paraId="6D5F8F3E" w14:textId="77777777" w:rsidR="005C5CD4" w:rsidRPr="00B75F64" w:rsidRDefault="00AF2686">
      <w:pPr>
        <w:rPr>
          <w:color w:val="000000" w:themeColor="text1"/>
          <w:lang w:eastAsia="zh-CN"/>
        </w:rPr>
      </w:pPr>
      <w:r w:rsidRPr="00B75F64">
        <w:rPr>
          <w:color w:val="000000" w:themeColor="text1"/>
        </w:rPr>
        <w:t xml:space="preserve">Revision Figure 4: CD133+ HPCs promote breast cancer growth </w:t>
      </w:r>
      <w:r w:rsidRPr="00B75F64">
        <w:rPr>
          <w:i/>
          <w:iCs/>
          <w:color w:val="000000" w:themeColor="text1"/>
        </w:rPr>
        <w:t>in vivo</w:t>
      </w:r>
    </w:p>
    <w:sectPr w:rsidR="005C5CD4" w:rsidRPr="00B75F64" w:rsidSect="00727B4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686"/>
    <w:rsid w:val="005C5CD4"/>
    <w:rsid w:val="00AF2686"/>
    <w:rsid w:val="00B57A9A"/>
    <w:rsid w:val="00B7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E55FF"/>
  <w15:docId w15:val="{35E70C9A-B09B-B54F-8DC9-AB030C09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686"/>
    <w:rPr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6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686"/>
    <w:rPr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chart" Target="charts/chart1.xml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Z\Desktop\2020&#35770;&#25991;\&#25968;&#25454;&#22270;%202\&#22686;&#27542;\&#22686;&#27542;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altLang="zh-CN" sz="1200" b="1" i="0" u="none" strike="noStrike" baseline="0">
                <a:effectLst/>
              </a:rPr>
              <a:t>MDA-MB-435s</a:t>
            </a:r>
            <a:endParaRPr lang="zh-CN" altLang="en-US" sz="1200"/>
          </a:p>
        </c:rich>
      </c:tx>
      <c:layout>
        <c:manualLayout>
          <c:xMode val="edge"/>
          <c:yMode val="edge"/>
          <c:x val="0.33788300083942202"/>
          <c:y val="8.79629629629630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912751531058601"/>
          <c:y val="0.12535906969962099"/>
          <c:w val="0.83026736970384396"/>
          <c:h val="0.75866105278506901"/>
        </c:manualLayout>
      </c:layout>
      <c:lineChart>
        <c:grouping val="standard"/>
        <c:varyColors val="0"/>
        <c:ser>
          <c:idx val="0"/>
          <c:order val="0"/>
          <c:tx>
            <c:v>CD133+</c:v>
          </c:tx>
          <c:spPr>
            <a:ln w="22225">
              <a:solidFill>
                <a:schemeClr val="tx1"/>
              </a:solidFill>
            </a:ln>
          </c:spPr>
          <c:marker>
            <c:symbol val="diamond"/>
            <c:size val="6"/>
            <c:spPr>
              <a:solidFill>
                <a:schemeClr val="tx1"/>
              </a:solidFill>
            </c:spPr>
          </c:marker>
          <c:dPt>
            <c:idx val="2"/>
            <c:marker>
              <c:symbol val="diamond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00-5FC9-4980-AD9E-E213BFDED9DD}"/>
              </c:ext>
            </c:extLst>
          </c:dPt>
          <c:errBars>
            <c:errDir val="y"/>
            <c:errBarType val="both"/>
            <c:errValType val="cust"/>
            <c:noEndCap val="0"/>
            <c:plus>
              <c:numRef>
                <c:f>Sheet1!$A$8:$A$12</c:f>
                <c:numCache>
                  <c:formatCode>General</c:formatCode>
                  <c:ptCount val="5"/>
                  <c:pt idx="0">
                    <c:v>0.16</c:v>
                  </c:pt>
                  <c:pt idx="1">
                    <c:v>0.21</c:v>
                  </c:pt>
                  <c:pt idx="2">
                    <c:v>0.23</c:v>
                  </c:pt>
                  <c:pt idx="3">
                    <c:v>0.25</c:v>
                  </c:pt>
                  <c:pt idx="4">
                    <c:v>0.2</c:v>
                  </c:pt>
                </c:numCache>
              </c:numRef>
            </c:plus>
            <c:minus>
              <c:numRef>
                <c:f>Sheet1!$B$8:$B$12</c:f>
                <c:numCache>
                  <c:formatCode>General</c:formatCode>
                  <c:ptCount val="5"/>
                  <c:pt idx="0">
                    <c:v>0.08</c:v>
                  </c:pt>
                  <c:pt idx="1">
                    <c:v>0.12</c:v>
                  </c:pt>
                  <c:pt idx="2">
                    <c:v>0.11</c:v>
                  </c:pt>
                  <c:pt idx="3">
                    <c:v>0.19</c:v>
                  </c:pt>
                  <c:pt idx="4">
                    <c:v>0.15</c:v>
                  </c:pt>
                </c:numCache>
              </c:numRef>
            </c:minus>
          </c:errBars>
          <c:cat>
            <c:strRef>
              <c:f>Sheet1!$D$1:$D$5</c:f>
              <c:strCache>
                <c:ptCount val="5"/>
                <c:pt idx="0">
                  <c:v>24h</c:v>
                </c:pt>
                <c:pt idx="1">
                  <c:v>48h</c:v>
                </c:pt>
                <c:pt idx="2">
                  <c:v>72h</c:v>
                </c:pt>
                <c:pt idx="3">
                  <c:v>96h</c:v>
                </c:pt>
                <c:pt idx="4">
                  <c:v>120h</c:v>
                </c:pt>
              </c:strCache>
            </c:strRef>
          </c:cat>
          <c:val>
            <c:numRef>
              <c:f>Sheet1!$A$1:$A$5</c:f>
              <c:numCache>
                <c:formatCode>General</c:formatCode>
                <c:ptCount val="5"/>
                <c:pt idx="0">
                  <c:v>0.1</c:v>
                </c:pt>
                <c:pt idx="1">
                  <c:v>0.55000000000000004</c:v>
                </c:pt>
                <c:pt idx="2">
                  <c:v>0.85</c:v>
                </c:pt>
                <c:pt idx="3">
                  <c:v>1</c:v>
                </c:pt>
                <c:pt idx="4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C9-4980-AD9E-E213BFDED9DD}"/>
            </c:ext>
          </c:extLst>
        </c:ser>
        <c:ser>
          <c:idx val="1"/>
          <c:order val="1"/>
          <c:tx>
            <c:v>CD133-</c:v>
          </c:tx>
          <c:spPr>
            <a:ln>
              <a:solidFill>
                <a:schemeClr val="tx1"/>
              </a:solidFill>
              <a:prstDash val="sysDot"/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  <a:prstDash val="sysDot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Sheet1!$A$20:$A$24</c:f>
                <c:numCache>
                  <c:formatCode>General</c:formatCode>
                  <c:ptCount val="5"/>
                  <c:pt idx="0">
                    <c:v>0.15</c:v>
                  </c:pt>
                  <c:pt idx="1">
                    <c:v>0.19</c:v>
                  </c:pt>
                  <c:pt idx="2">
                    <c:v>0.17</c:v>
                  </c:pt>
                  <c:pt idx="3">
                    <c:v>0.22</c:v>
                  </c:pt>
                  <c:pt idx="4">
                    <c:v>0.13</c:v>
                  </c:pt>
                </c:numCache>
              </c:numRef>
            </c:plus>
            <c:minus>
              <c:numRef>
                <c:f>Sheet1!$B$20:$B$24</c:f>
                <c:numCache>
                  <c:formatCode>General</c:formatCode>
                  <c:ptCount val="5"/>
                  <c:pt idx="0">
                    <c:v>0.02</c:v>
                  </c:pt>
                  <c:pt idx="1">
                    <c:v>0.15</c:v>
                  </c:pt>
                  <c:pt idx="2">
                    <c:v>0.18</c:v>
                  </c:pt>
                  <c:pt idx="3">
                    <c:v>0.22</c:v>
                  </c:pt>
                  <c:pt idx="4">
                    <c:v>0.21</c:v>
                  </c:pt>
                </c:numCache>
              </c:numRef>
            </c:minus>
          </c:errBars>
          <c:cat>
            <c:strRef>
              <c:f>Sheet1!$D$1:$D$5</c:f>
              <c:strCache>
                <c:ptCount val="5"/>
                <c:pt idx="0">
                  <c:v>24h</c:v>
                </c:pt>
                <c:pt idx="1">
                  <c:v>48h</c:v>
                </c:pt>
                <c:pt idx="2">
                  <c:v>72h</c:v>
                </c:pt>
                <c:pt idx="3">
                  <c:v>96h</c:v>
                </c:pt>
                <c:pt idx="4">
                  <c:v>120h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0.1</c:v>
                </c:pt>
                <c:pt idx="1">
                  <c:v>0.18</c:v>
                </c:pt>
                <c:pt idx="2">
                  <c:v>0.43</c:v>
                </c:pt>
                <c:pt idx="3">
                  <c:v>0.55000000000000004</c:v>
                </c:pt>
                <c:pt idx="4">
                  <c:v>0.79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FC9-4980-AD9E-E213BFDED9DD}"/>
            </c:ext>
          </c:extLst>
        </c:ser>
        <c:ser>
          <c:idx val="2"/>
          <c:order val="2"/>
          <c:tx>
            <c:v>Blank</c:v>
          </c:tx>
          <c:spPr>
            <a:ln w="22225">
              <a:solidFill>
                <a:schemeClr val="tx1"/>
              </a:solidFill>
              <a:prstDash val="lgDashDotDot"/>
            </a:ln>
          </c:spPr>
          <c:marker>
            <c:symbol val="triangle"/>
            <c:size val="5"/>
            <c:spPr>
              <a:solidFill>
                <a:schemeClr val="tx1"/>
              </a:solidFill>
              <a:ln>
                <a:prstDash val="lgDashDotDot"/>
              </a:ln>
            </c:spPr>
          </c:marker>
          <c:dPt>
            <c:idx val="2"/>
            <c:marker>
              <c:symbol val="triangle"/>
              <c:size val="6"/>
            </c:marker>
            <c:bubble3D val="0"/>
            <c:extLst>
              <c:ext xmlns:c16="http://schemas.microsoft.com/office/drawing/2014/chart" uri="{C3380CC4-5D6E-409C-BE32-E72D297353CC}">
                <c16:uniqueId val="{00000003-5FC9-4980-AD9E-E213BFDED9DD}"/>
              </c:ext>
            </c:extLst>
          </c:dPt>
          <c:dPt>
            <c:idx val="3"/>
            <c:marker>
              <c:spPr>
                <a:solidFill>
                  <a:schemeClr val="tx1"/>
                </a:solidFill>
                <a:ln>
                  <a:solidFill>
                    <a:schemeClr val="tx1"/>
                  </a:solidFill>
                  <a:prstDash val="lgDashDotDot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5FC9-4980-AD9E-E213BFDED9DD}"/>
              </c:ext>
            </c:extLst>
          </c:dPt>
          <c:errBars>
            <c:errDir val="y"/>
            <c:errBarType val="both"/>
            <c:errValType val="cust"/>
            <c:noEndCap val="0"/>
            <c:plus>
              <c:numRef>
                <c:f>Sheet1!$A$14:$A$18</c:f>
                <c:numCache>
                  <c:formatCode>General</c:formatCode>
                  <c:ptCount val="5"/>
                  <c:pt idx="0">
                    <c:v>0.15</c:v>
                  </c:pt>
                  <c:pt idx="1">
                    <c:v>0.23</c:v>
                  </c:pt>
                  <c:pt idx="2">
                    <c:v>0.21</c:v>
                  </c:pt>
                  <c:pt idx="3">
                    <c:v>0.15</c:v>
                  </c:pt>
                  <c:pt idx="4">
                    <c:v>0.19</c:v>
                  </c:pt>
                </c:numCache>
              </c:numRef>
            </c:plus>
            <c:minus>
              <c:numRef>
                <c:f>Sheet1!$B$14:$B$18</c:f>
                <c:numCache>
                  <c:formatCode>General</c:formatCode>
                  <c:ptCount val="5"/>
                  <c:pt idx="0">
                    <c:v>0.01</c:v>
                  </c:pt>
                  <c:pt idx="1">
                    <c:v>0.03</c:v>
                  </c:pt>
                  <c:pt idx="2">
                    <c:v>0.12</c:v>
                  </c:pt>
                  <c:pt idx="3">
                    <c:v>0.11</c:v>
                  </c:pt>
                  <c:pt idx="4">
                    <c:v>0.02</c:v>
                  </c:pt>
                </c:numCache>
              </c:numRef>
            </c:minus>
          </c:errBars>
          <c:cat>
            <c:strRef>
              <c:f>Sheet1!$D$1:$D$5</c:f>
              <c:strCache>
                <c:ptCount val="5"/>
                <c:pt idx="0">
                  <c:v>24h</c:v>
                </c:pt>
                <c:pt idx="1">
                  <c:v>48h</c:v>
                </c:pt>
                <c:pt idx="2">
                  <c:v>72h</c:v>
                </c:pt>
                <c:pt idx="3">
                  <c:v>96h</c:v>
                </c:pt>
                <c:pt idx="4">
                  <c:v>120h</c:v>
                </c:pt>
              </c:strCache>
            </c:strRef>
          </c:cat>
          <c:val>
            <c:numRef>
              <c:f>Sheet1!$C$1:$C$5</c:f>
              <c:numCache>
                <c:formatCode>General</c:formatCode>
                <c:ptCount val="5"/>
                <c:pt idx="0">
                  <c:v>0.1</c:v>
                </c:pt>
                <c:pt idx="1">
                  <c:v>0.22</c:v>
                </c:pt>
                <c:pt idx="2">
                  <c:v>0.32</c:v>
                </c:pt>
                <c:pt idx="3">
                  <c:v>0.49</c:v>
                </c:pt>
                <c:pt idx="4">
                  <c:v>0.77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FC9-4980-AD9E-E213BFDED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8978560"/>
        <c:axId val="558980096"/>
      </c:lineChart>
      <c:catAx>
        <c:axId val="558978560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in"/>
        <c:minorTickMark val="none"/>
        <c:tickLblPos val="nextTo"/>
        <c:crossAx val="558980096"/>
        <c:crosses val="autoZero"/>
        <c:auto val="1"/>
        <c:lblAlgn val="ctr"/>
        <c:lblOffset val="100"/>
        <c:noMultiLvlLbl val="0"/>
      </c:catAx>
      <c:valAx>
        <c:axId val="55898009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OD</a:t>
                </a:r>
                <a:r>
                  <a:rPr lang="en-US" altLang="zh-CN" sz="11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570nm</a:t>
                </a:r>
                <a:endParaRPr lang="zh-CN" altLang="en-US" sz="11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58978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4527777777778"/>
          <c:y val="0.23779235928842199"/>
          <c:w val="0.38503526902887097"/>
          <c:h val="0.25115157480314998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Microsoft Office User</cp:lastModifiedBy>
  <cp:revision>2</cp:revision>
  <dcterms:created xsi:type="dcterms:W3CDTF">2020-09-04T04:20:00Z</dcterms:created>
  <dcterms:modified xsi:type="dcterms:W3CDTF">2020-09-11T15:06:00Z</dcterms:modified>
</cp:coreProperties>
</file>