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D14D" w14:textId="04EBD89B" w:rsidR="008802D7" w:rsidRDefault="008802D7" w:rsidP="008802D7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67992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Additional file 3</w:t>
      </w:r>
    </w:p>
    <w:p w14:paraId="2D3B0A81" w14:textId="77777777" w:rsidR="008802D7" w:rsidRDefault="008802D7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A78F2" w14:textId="3BCC71EB" w:rsidR="005055FD" w:rsidRPr="006130E9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130E9">
        <w:rPr>
          <w:rFonts w:ascii="Times New Roman" w:hAnsi="Times New Roman" w:cs="Times New Roman"/>
          <w:b/>
          <w:bCs/>
          <w:sz w:val="24"/>
          <w:szCs w:val="24"/>
        </w:rPr>
        <w:t>Novel</w:t>
      </w:r>
      <w:r w:rsidRPr="00613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13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Chloroflexi</w:t>
      </w:r>
      <w:proofErr w:type="spellEnd"/>
      <w:r w:rsidRPr="00613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30E9">
        <w:rPr>
          <w:rFonts w:ascii="Times New Roman" w:hAnsi="Times New Roman" w:cs="Times New Roman"/>
          <w:b/>
          <w:bCs/>
          <w:sz w:val="24"/>
          <w:szCs w:val="24"/>
        </w:rPr>
        <w:t xml:space="preserve">genomes from the deepest ocean reveal metabolic strategies </w:t>
      </w:r>
      <w:r w:rsidRPr="006130E9">
        <w:rPr>
          <w:rFonts w:ascii="Times New Roman" w:hAnsi="Times New Roman" w:cs="Times New Roman" w:hint="eastAsia"/>
          <w:b/>
          <w:bCs/>
          <w:sz w:val="24"/>
          <w:szCs w:val="24"/>
        </w:rPr>
        <w:t>for</w:t>
      </w:r>
      <w:r w:rsidRPr="006130E9">
        <w:rPr>
          <w:rFonts w:ascii="Times New Roman" w:hAnsi="Times New Roman" w:cs="Times New Roman"/>
          <w:b/>
          <w:bCs/>
          <w:sz w:val="24"/>
          <w:szCs w:val="24"/>
        </w:rPr>
        <w:t xml:space="preserve"> the adaptation to deep</w:t>
      </w:r>
      <w:r w:rsidRPr="006130E9">
        <w:rPr>
          <w:rFonts w:ascii="Times New Roman" w:hAnsi="Times New Roman" w:cs="Times New Roman"/>
          <w:sz w:val="24"/>
          <w:szCs w:val="24"/>
        </w:rPr>
        <w:t>-</w:t>
      </w:r>
      <w:r w:rsidRPr="006130E9">
        <w:rPr>
          <w:rFonts w:ascii="Times New Roman" w:hAnsi="Times New Roman" w:cs="Times New Roman"/>
          <w:b/>
          <w:bCs/>
          <w:sz w:val="24"/>
          <w:szCs w:val="24"/>
        </w:rPr>
        <w:t>sea habitats</w:t>
      </w:r>
    </w:p>
    <w:p w14:paraId="353EACB0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AE6F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2*</w:t>
      </w:r>
      <w:r>
        <w:rPr>
          <w:rFonts w:ascii="Times New Roman" w:hAnsi="Times New Roman" w:cs="Times New Roman"/>
          <w:sz w:val="24"/>
          <w:szCs w:val="24"/>
        </w:rPr>
        <w:t>, Xing Wei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>, Li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3*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Jiaxin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Tao Jin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Haofeng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>, Cheng Yao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Jiasong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5, 6*</w:t>
      </w:r>
    </w:p>
    <w:p w14:paraId="30F7B1A4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6A7D6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8C9D" w14:textId="77777777" w:rsidR="005055FD" w:rsidRDefault="005055FD" w:rsidP="005055FD">
      <w:pPr>
        <w:widowControl/>
        <w:adjustRightInd w:val="0"/>
        <w:snapToGrid w:val="0"/>
        <w:spacing w:beforeLines="50" w:before="156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Shanghai Engineering Research Center of Hadal Science and Technology, College of Marine Sciences, Shanghai Ocean University, Shanghai, China</w:t>
      </w:r>
    </w:p>
    <w:p w14:paraId="07BC5501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Engineering Research Center for Oceanic Fisheries, Shanghai Ocean University, Shanghai, China</w:t>
      </w:r>
    </w:p>
    <w:p w14:paraId="5F15C567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Centre for Marine Science &amp; Innovation and School of Biological Earth and Environmental Science, University of New South Wales, Kensington, Australia</w:t>
      </w:r>
    </w:p>
    <w:p w14:paraId="6142E98A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BGI-Shenzhen, Shenzhen, Guangdong, China.</w:t>
      </w:r>
    </w:p>
    <w:p w14:paraId="5F064D44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Laboratory for Marine Biology and Biotechnology, Qingdao National Laboratory for Marine Science and Technology, Qingdao, China</w:t>
      </w:r>
    </w:p>
    <w:p w14:paraId="0FCF0665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Department of Natural Sciences, Hawaii Pacific University, Honolulu, HI, USA</w:t>
      </w:r>
    </w:p>
    <w:p w14:paraId="4F24ABDB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1CD05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1834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*Correspondence: </w:t>
      </w:r>
    </w:p>
    <w:p w14:paraId="79443F21" w14:textId="77777777" w:rsidR="005055FD" w:rsidRDefault="005055FD" w:rsidP="005055FD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Rulong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rlliu@shou.edu.cn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Weizhi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 xml:space="preserve">, weizhi.song@unsw.edu.au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Jiasong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Fang</w:t>
      </w:r>
      <w:r>
        <w:rPr>
          <w:rFonts w:ascii="Times New Roman" w:hAnsi="Times New Roman" w:cs="Times New Roman"/>
          <w:sz w:val="24"/>
          <w:szCs w:val="24"/>
        </w:rPr>
        <w:t>, jsfang@shou.edu.cn</w:t>
      </w:r>
    </w:p>
    <w:p w14:paraId="37B54436" w14:textId="77777777" w:rsidR="00CB7C81" w:rsidRDefault="00CB7C81" w:rsidP="00CB7C8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C1F04" w14:textId="6A05D0FC" w:rsidR="00B12C13" w:rsidRPr="00B12C13" w:rsidRDefault="00B12C13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2C13">
        <w:rPr>
          <w:rFonts w:ascii="Times New Roman" w:hAnsi="Times New Roman" w:cs="Times New Roman"/>
          <w:b/>
          <w:bCs/>
          <w:sz w:val="24"/>
          <w:szCs w:val="24"/>
        </w:rPr>
        <w:t>Taxonomy name</w:t>
      </w:r>
      <w:r w:rsidR="00ED2D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2C13">
        <w:rPr>
          <w:rFonts w:ascii="Times New Roman" w:hAnsi="Times New Roman" w:cs="Times New Roman"/>
          <w:b/>
          <w:bCs/>
          <w:sz w:val="24"/>
          <w:szCs w:val="24"/>
        </w:rPr>
        <w:t xml:space="preserve"> proposed for the six MAGs qualified as type material:</w:t>
      </w:r>
    </w:p>
    <w:p w14:paraId="05C8532A" w14:textId="3B02E5D0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MAGs including MT 6_15, MT 4_27, MT2_13, MT2_3, MT6_13 and MT4_14, showed completeness of &gt;80% and contaminations lower than 3.6% (Table 1), and are qualified as type materials according to the criteria defined recently for taxonomy of uncultivated prokaryotes [</w:t>
      </w:r>
      <w:r w:rsidR="00C03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03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]. We propose the names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Aerodehalococcoidaceae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(fam.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Aerodehalococcoides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hadale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MT6_15, for its capability of dehalogenation and for being recovered from oxygenic surface sediment of the hadal zone. MT 4_27 was putatively named as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Pseudodehalococcoides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chloroalkanivoran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its capability of degradation of chloroalkanes via hydrolytic pathways, and the higher ranks were named as family “Ca.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Pseudodehalococcoidaceae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(GTDB family RBG-16-64-32) and order “Ca.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Pseudodehalococcoidales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(GTDB order SM2-28-2). MT2_13 was putatively named as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Aromodehalococcoides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marianensis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its capability to degrade organic halides and aromatic compounds, and the higher ranks were putatively named as genus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Aromadehalococcoides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(GTDB: UBA1328), family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Aromadehalococcoidaceae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(GTDB: Bin127) and order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Aromadehalococcoidales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(GTDB: UBA1151). MT2_3, MT6_13 and MT4_14 belong to the family UBA3495 of the order UBA3495 (former SAR202 group III), which have been putatively named </w:t>
      </w:r>
      <w:proofErr w:type="spellStart"/>
      <w:r w:rsidRPr="003522E2">
        <w:rPr>
          <w:rFonts w:ascii="Times New Roman" w:hAnsi="Times New Roman" w:cs="Times New Roman"/>
          <w:i/>
          <w:iCs/>
          <w:sz w:val="24"/>
          <w:szCs w:val="24"/>
        </w:rPr>
        <w:t>Monstramariaceae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22E2">
        <w:rPr>
          <w:rFonts w:ascii="Times New Roman" w:hAnsi="Times New Roman" w:cs="Times New Roman"/>
          <w:i/>
          <w:iCs/>
          <w:sz w:val="24"/>
          <w:szCs w:val="24"/>
        </w:rPr>
        <w:t>Monstramariales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Saw et al.</w:t>
      </w:r>
      <w:r w:rsidR="00C03E96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. We decided to adopt these order and family names and name MT2_3 as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Monstradehalococcoides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dehalogenans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MT6_13 as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Monstramaris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marianensis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MT4_14 as Ca.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Monstramaris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12B1C5E" w14:textId="77777777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EC2AA2" w14:textId="77777777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Aerodehalococcoides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air;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bacterial genus name;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aerobic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</w:p>
    <w:p w14:paraId="082C5369" w14:textId="77777777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7888C5B" w14:textId="77777777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masc./fem. adj.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false;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bacterial genus;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false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</w:p>
    <w:p w14:paraId="3C7D5527" w14:textId="77777777" w:rsidR="00220720" w:rsidRDefault="00220720" w:rsidP="0022072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878B40A" w14:textId="0385661B" w:rsidR="009E5E31" w:rsidRDefault="00220720" w:rsidP="002207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Aromadehalococcoides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neut. n. aroma (gen.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spice;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bacterial genus; N.L. masc.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Dehalococcoides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degrading aromatic compounds.</w:t>
      </w:r>
    </w:p>
    <w:p w14:paraId="2FAAD4C7" w14:textId="47B1AE42" w:rsidR="00C03E96" w:rsidRDefault="00C03E96" w:rsidP="00220720">
      <w:pPr>
        <w:rPr>
          <w:rFonts w:ascii="Times New Roman" w:hAnsi="Times New Roman" w:cs="Times New Roman"/>
          <w:sz w:val="24"/>
          <w:szCs w:val="24"/>
        </w:rPr>
      </w:pPr>
    </w:p>
    <w:p w14:paraId="0676FD43" w14:textId="1DDE9A4E" w:rsidR="00C03E96" w:rsidRDefault="00C03E96" w:rsidP="00220720">
      <w:pPr>
        <w:rPr>
          <w:rFonts w:ascii="Times New Roman" w:hAnsi="Times New Roman" w:cs="Times New Roman"/>
          <w:sz w:val="24"/>
          <w:szCs w:val="24"/>
        </w:rPr>
      </w:pPr>
    </w:p>
    <w:p w14:paraId="7FD26731" w14:textId="191F7171" w:rsidR="00C03E96" w:rsidRPr="00F36168" w:rsidRDefault="00C03E96" w:rsidP="002207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168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Pr="00F36168">
        <w:rPr>
          <w:rFonts w:ascii="Times New Roman" w:hAnsi="Times New Roman" w:cs="Times New Roman"/>
          <w:b/>
          <w:bCs/>
          <w:sz w:val="24"/>
          <w:szCs w:val="24"/>
        </w:rPr>
        <w:t xml:space="preserve">eferences: </w:t>
      </w:r>
    </w:p>
    <w:p w14:paraId="1FF1D773" w14:textId="7C395930" w:rsidR="00C03E96" w:rsidRDefault="00C03E96" w:rsidP="00C03E96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Parks DH,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Chuvochina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Chaumeil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Rinke 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Hugenholtz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A complete domain-to-species taxonomy for Bacteria and Archaea. Nat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2020;38:1079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-86. </w:t>
      </w:r>
    </w:p>
    <w:p w14:paraId="1BE30EE7" w14:textId="7016963C" w:rsidR="00C03E96" w:rsidRDefault="00C03E96" w:rsidP="00C03E96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Murray AE,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Freudenstein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Hatzenpichler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Hugenholtz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Kämpfer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et al. Roadmap for naming uncultivated Archaea and Bacteria. Nat Microbiol.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2020;5:987</w:t>
      </w:r>
      <w:proofErr w:type="gramEnd"/>
      <w:r>
        <w:rPr>
          <w:rFonts w:ascii="Times New Roman" w:hAnsi="Times New Roman" w:cs="Times New Roman"/>
          <w:sz w:val="24"/>
          <w:szCs w:val="24"/>
        </w:rPr>
        <w:t>-94.</w:t>
      </w:r>
    </w:p>
    <w:p w14:paraId="015473F9" w14:textId="5E8305CD" w:rsidR="00C03E96" w:rsidRDefault="00AF5E3D" w:rsidP="00673312">
      <w:pPr>
        <w:spacing w:line="480" w:lineRule="auto"/>
      </w:pPr>
      <w:r w:rsidRPr="00AF5E3D">
        <w:rPr>
          <w:rFonts w:ascii="Times New Roman" w:hAnsi="Times New Roman" w:cs="Times New Roman"/>
          <w:sz w:val="24"/>
          <w:szCs w:val="24"/>
        </w:rPr>
        <w:t>3</w:t>
      </w:r>
      <w:r w:rsidR="00C03E96" w:rsidRPr="00AF5E3D">
        <w:rPr>
          <w:rFonts w:ascii="Times New Roman" w:hAnsi="Times New Roman" w:cs="Times New Roman"/>
          <w:sz w:val="24"/>
          <w:szCs w:val="24"/>
        </w:rPr>
        <w:t>.</w:t>
      </w:r>
      <w:r w:rsidR="00C03E9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Saw JHW,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Hirai M, Takaki Y, Parsons R, Michelsen M, et 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Reveals Diversification of Enzyme Families and Niche Specialization in Globally Abundant SAR202 Bacteria. mBio. 2020;</w:t>
      </w:r>
      <w:proofErr w:type="gramStart"/>
      <w:r>
        <w:rPr>
          <w:rFonts w:ascii="Times New Roman" w:hAnsi="Times New Roman" w:cs="Times New Roman"/>
          <w:sz w:val="24"/>
          <w:szCs w:val="24"/>
        </w:rPr>
        <w:t>11:e</w:t>
      </w:r>
      <w:proofErr w:type="gramEnd"/>
      <w:r>
        <w:rPr>
          <w:rFonts w:ascii="Times New Roman" w:hAnsi="Times New Roman" w:cs="Times New Roman"/>
          <w:sz w:val="24"/>
          <w:szCs w:val="24"/>
        </w:rPr>
        <w:t>02975-19.</w:t>
      </w:r>
    </w:p>
    <w:sectPr w:rsidR="00C0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D731" w14:textId="77777777" w:rsidR="0011594A" w:rsidRDefault="0011594A" w:rsidP="00220720">
      <w:r>
        <w:separator/>
      </w:r>
    </w:p>
  </w:endnote>
  <w:endnote w:type="continuationSeparator" w:id="0">
    <w:p w14:paraId="365E551C" w14:textId="77777777" w:rsidR="0011594A" w:rsidRDefault="0011594A" w:rsidP="002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5619" w14:textId="77777777" w:rsidR="0011594A" w:rsidRDefault="0011594A" w:rsidP="00220720">
      <w:r>
        <w:separator/>
      </w:r>
    </w:p>
  </w:footnote>
  <w:footnote w:type="continuationSeparator" w:id="0">
    <w:p w14:paraId="7F47FACC" w14:textId="77777777" w:rsidR="0011594A" w:rsidRDefault="0011594A" w:rsidP="002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1"/>
    <w:rsid w:val="0011594A"/>
    <w:rsid w:val="00220720"/>
    <w:rsid w:val="004377B8"/>
    <w:rsid w:val="004C4A05"/>
    <w:rsid w:val="005055FD"/>
    <w:rsid w:val="005145D4"/>
    <w:rsid w:val="006130E9"/>
    <w:rsid w:val="00653415"/>
    <w:rsid w:val="00673312"/>
    <w:rsid w:val="006C7C35"/>
    <w:rsid w:val="00760F74"/>
    <w:rsid w:val="007F3E43"/>
    <w:rsid w:val="008802D7"/>
    <w:rsid w:val="009E5E31"/>
    <w:rsid w:val="00AF5E3D"/>
    <w:rsid w:val="00B12C13"/>
    <w:rsid w:val="00C03E96"/>
    <w:rsid w:val="00CB7C81"/>
    <w:rsid w:val="00ED2DB6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6647"/>
  <w15:chartTrackingRefBased/>
  <w15:docId w15:val="{36C22B11-12FD-46ED-9F28-1D0D506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720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0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liu@sh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rl</dc:creator>
  <cp:keywords/>
  <dc:description/>
  <cp:lastModifiedBy>liu rl</cp:lastModifiedBy>
  <cp:revision>16</cp:revision>
  <dcterms:created xsi:type="dcterms:W3CDTF">2021-02-09T04:31:00Z</dcterms:created>
  <dcterms:modified xsi:type="dcterms:W3CDTF">2021-02-18T07:28:00Z</dcterms:modified>
</cp:coreProperties>
</file>