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512"/>
        <w:gridCol w:w="6149"/>
        <w:gridCol w:w="4083"/>
      </w:tblGrid>
      <w:tr w:rsidR="00F56197" w:rsidTr="00D109EE">
        <w:trPr>
          <w:trHeight w:val="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Table 3 Compositions and rationale for tested Chinese herbal medicine 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Category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 xml:space="preserve">　</w:t>
            </w:r>
            <w:r>
              <w:rPr>
                <w:rStyle w:val="font41"/>
                <w:rFonts w:eastAsia="宋体"/>
                <w:sz w:val="18"/>
                <w:szCs w:val="18"/>
                <w:lang w:bidi="ar"/>
              </w:rPr>
              <w:t>Medicine name (trial No.)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Compositions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Rationale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Patent drugs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Lianhua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Qingwen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granule/capsules (2)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Kuxingren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Banlangen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Dryopteridis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Crassirhizomatis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Mianmaguanzhong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Houttuyniae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Yuxingcao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Pogostemonis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Guanghuoxiang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Rhei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Rhodiolae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Crenulatae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Hongjingtian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and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along with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l-Menthol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Bohenao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 and a traditional Chinese mineral,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Gypsum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Fibrosum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Shigao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In vitro: Significantly inhibits the SARS-COV-2 replication, affects virus morphology and exerts anti-inflammatory activity in vitro. These findings indicate that LH protects against the virus attack, making its use a novel strategy for controlling the COVID-19 disease.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[8]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Jinyebaidu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Daqingye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Taraxaci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Pugongying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Houttuyniae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Yuxingcao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Kangbingdu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Banlangen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Caulis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Rendongteng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Sophorae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Tonkinensis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Shandougen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Iridis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Tectori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Chuanshegan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Houttuyniae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Yuxingcao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Paridis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Chonglou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Cyrtomium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fortune J. Sm.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Guanzhong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Paeoniae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Alba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Baizhi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Artemisiae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Annuae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Qinghao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along with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Sucrose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In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silico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: The active compounds in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Kangbingdu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Keli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can interact with angiotensin-converting enzyme II (ACE2) to target PTGS2, HSP90AB1, and PTGS1 to regulate multiple signal pathways, thereby exerting therapeutic effects on COVID-19.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[9]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Xiao'er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Huatan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Zhike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Flow extract of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platycodonis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Jiegeng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Flow extract of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Mori Cortex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Sangbaipi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Tinctura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Ipecacuanhae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Tugending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Ephedrine Hydrochloride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, along with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Citric Acid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Sodium Citrate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Sucrose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and essence.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Jingyin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Schizonepetae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Jingjie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Arctii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Niubangzi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Daqingye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Ilicis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Chinensis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Sijiqing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Huaier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Aqueous extract of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Trametes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robiniophila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Murr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Ganke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Shuangqing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capsule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Baicalin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Huangqigan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Andrographolide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Chuanxinlianneizhi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SR: The whole effectiveness of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Ganke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Shuangqing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Capsules for acute upper respiratory tract infections was better than ribavirin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．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However, this conclusion needs more high quality study to confirm.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[10]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Keqing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capsule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Reineckia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Carnea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Jixiangcao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Papaveris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Pericarpium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Yingsuqiao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Ardisiae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Aidicha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Saxifraga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stolonifera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Huercao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Eriobotryae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Pipaye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Mori Cortex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Sangbaipi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In vivo: As the first-line drugs for novel coronavirus pneumonia,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Keqing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capsules and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Kesuting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syrups have significant therapeutic effect on the mouse model combining disease and syndrome of human coronavirus pneumonia with cold-dampness pestilence attacking lung, and the mechanism may be related to regulating immune function and reducing cytokine storm.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[11]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Kesuting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syrup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Eriobotryae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Pipaye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Papaveris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Pericarpium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Yingsuqiao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platycodonis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Jiegeng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Mori Cortex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Sangbaipi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Reineckia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Carnea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Jixiangcao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Disporum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Cantoniense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Baiweishen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Saxifraga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stolonifera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Huercao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Polygonati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Huangjing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As above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Shuanghuanglian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liquid (2)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Scutellariae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In vitro: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Shuanghuanglian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liquid may have the antiviral activity against the H5N1 virus infection by inhibiting viral replication and alleviating lung injury.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[12]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-Dan (2)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Bovis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Calculus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Artifactus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Rengong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Niuhuang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 S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nake bile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Shedan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Saigae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Tataricae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Cornu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Lingyangjiao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Margarita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Zhenzhu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Notoginseng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Sanqi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Moschus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Shexiang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Compound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Houttuyniae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(2)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Houttuyniae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Yuxingcao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9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Scutellariae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Banlangen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Liu-Shen-Wan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Bovis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Calculus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Artifactus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Rengong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Niuhuang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Moschus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Shexiang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Bufonis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Venenum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Chansu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Realgar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Xionghuang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Borneolum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Tianranbingpian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Margarita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Zhenzhu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Fuzheng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Huayu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Tablet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Salviae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Miltiorrhizae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Persicae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Taoren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Schisandrae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Chinensis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Wuweizi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Cordyceps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Dongchongxiacao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Gynostemma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pentaphyllum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Jiaogulan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Pini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Pollen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Songhuafen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T89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Salviae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Miltiorrhizae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Notoginseng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Sanqi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Overview: Current SRs suggested potential benefits of CDDP for the treatment of CHD. However, high-quality evidence is warranted to support the application of CDDP in treating CHD. 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[13]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br/>
              <w:t>(T89 has a similar composition with CDDP and the trial on COVID-19 was aiming to improve oxygen saturation and clinical symptoms)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Injections</w:t>
            </w: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Xuebijing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(2)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Carthami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Honghua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Paeoniae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Rubra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Chishao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Chuanxiong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Chuanxiong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Angelicae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Sinensis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Danggui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and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Salviae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Miltiorrhizae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RCT: Significant improvement in the primary endpoint of the pneumonia severity index as well a</w:t>
            </w:r>
            <w:r w:rsidR="006A3063">
              <w:rPr>
                <w:rStyle w:val="font21"/>
                <w:rFonts w:eastAsia="宋体"/>
                <w:sz w:val="18"/>
                <w:szCs w:val="18"/>
                <w:lang w:bidi="ar"/>
              </w:rPr>
              <w:t>s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significant improvement in the secondary clinical outcomes of mortality, duration of mechanical ventilation and duration of ICU stay.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[14]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Tanreqing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Scutellariae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Pulvis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Fellis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Ursi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Xiongdanfen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Saigae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Tataricae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Cornu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Lingyangjiao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along with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Propylene Glycol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A2B25">
              <w:rPr>
                <w:rStyle w:val="font21"/>
                <w:rFonts w:eastAsia="宋体"/>
                <w:sz w:val="18"/>
                <w:szCs w:val="18"/>
                <w:lang w:bidi="ar"/>
              </w:rPr>
              <w:t>SR: Potentially beneficial effect in improving effective rates, reducing the time to resolution of fever, cough, crackles and abso</w:t>
            </w:r>
            <w:bookmarkStart w:id="0" w:name="_GoBack"/>
            <w:bookmarkEnd w:id="0"/>
            <w:r w:rsidRPr="008A2B25">
              <w:rPr>
                <w:rStyle w:val="font21"/>
                <w:rFonts w:eastAsia="宋体"/>
                <w:sz w:val="18"/>
                <w:szCs w:val="18"/>
                <w:lang w:bidi="ar"/>
              </w:rPr>
              <w:t>rption of shadows on X-ra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</w:t>
            </w:r>
            <w:r w:rsidR="008A2B25"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on </w:t>
            </w:r>
            <w:r w:rsidR="008A2B25" w:rsidRPr="008A2B25"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acute </w:t>
            </w:r>
            <w:r w:rsidR="008A2B25" w:rsidRPr="008A2B25">
              <w:rPr>
                <w:rStyle w:val="font21"/>
                <w:rFonts w:eastAsia="宋体"/>
                <w:sz w:val="18"/>
                <w:szCs w:val="18"/>
                <w:lang w:bidi="ar"/>
              </w:rPr>
              <w:lastRenderedPageBreak/>
              <w:t>bronchitis disease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[15]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Reduning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Artemisiae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Annuae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Qinghao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Gardeniae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Zhizi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along with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Polysorbate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80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RCT: The effect of RDNI was not worse than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oseltamivir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on the alleviation of influenza symptoms. RDNI was well tolerated, with no serious adverse events noted during the study period.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[16]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Xiyanping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(4)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Andrographolides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sulfonate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Chuanxinlian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Expert consensus statement: Non-severe patients without high risk factors for severe influenza can shorten the duration of fever, headache and cough; patients with severe or high risk factors for severe influenza can be given anti-influenza virus medication as soon as possible, and combined with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Xiyanping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injection can promote fever , Cough, sore throat, muscle soreness, headache and other symptoms; influenza high fever (armpit temperature&gt;39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℃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 is recommended to use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Xiyanping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injection combined with neuraminidase inhibitor treatment.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[17]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Shenqi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Fuzheng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Codonopsis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Dangshen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Astragali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Shenfu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Ginseng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Rubra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Hongshen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Aconiti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Lateralis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Praeparata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Fuzi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RCT: The application of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Shenfu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injection exhibited a positive and effective effect on removing the inflammation media during the treatment of elderly severe pneumonia.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[18]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Decoctions</w:t>
            </w: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decoction/honeysuckle oral liquid (2)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In vivo and in vitro: MIR2911, a honeysuckle (HS)-encoded atypical microRNA, can directly target various Influenza A viruses and may represent a novel type of natural product that effectively suppresses viral infection.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[19]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Ma-Xing-Shi-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-Tang and Sheng-Jiang-San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Kuxingren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and a traditional Chinese mineral,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Gypsum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Fibrosum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Shigao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);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br/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Bombyx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Batryticatus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Jiangcan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Cicadae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Periostracum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Chantui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Curcumae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Longae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Jianghuang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Rhei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RCT: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Oseltamivir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and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maxingshigan-yinqiaosan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, alone and in combination, reduced time to fever resolution in patients with H1N1 influenza virus infection. These data suggest that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maxingshigan-yinqiaosan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may be used as an alternative treatment of H1N1 influenza virus infection.</w:t>
            </w:r>
            <w:r>
              <w:rPr>
                <w:rStyle w:val="font71"/>
                <w:rFonts w:eastAsia="宋体"/>
                <w:color w:val="000000"/>
                <w:sz w:val="18"/>
                <w:szCs w:val="18"/>
                <w:lang w:bidi="ar"/>
              </w:rPr>
              <w:t>[20]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Shenling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Baizhu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Powder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Lablab Semen Album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Baibiandou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Atractylodis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Macrocephalae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Baizhu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lastRenderedPageBreak/>
              <w:t>Poria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Fuling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Platycodonis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Jiegeng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Nelumbinis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Ginseng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Renshen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Amomi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Sharen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Dioscoreae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Shanyao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Coicis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Yiyiren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Yinhu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Qingwen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decoction /granule (1)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Polygoni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Cuspidate Rhizome et Radix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Huzhang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Schizonepetae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Jingjie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Epimedii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Yinyanghuo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 etc. (No more information available)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Qing-Wen Bai-Du-Yin formula granules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（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Rehmanniae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Shengdihuang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Coptidis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Huanglian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Gardeniae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Zhizi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Platycodonis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Jiegeng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Scutellariae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Anemarrhenae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Zhimu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Paeoniae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Rubra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Chishao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Scrophulariae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Xuanshen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Lianqaio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Lophatheri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Zhuye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Praeparata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Melle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Zhigancao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Moutan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Cortex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Mudanpi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and along with a traditional Chinese mineral,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Gypsum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Fibrosum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Shengshigao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Chaihu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Qingwen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decoction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Kangguan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No. 1 Recipe)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（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br/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(for suspected COVID-19 cases, ordinary patients, and the prevention for people exposed to patients)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Bupleuri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Chaihu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Scutellariae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Pinelliae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Praeparatum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Fabanxia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Cinnamomi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Ramulus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Guizhi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Magnoliae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Officinalis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（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Houpohua</w:t>
            </w:r>
            <w:proofErr w:type="spell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）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Asteris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Ziwan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Daqingye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Isatidis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Banlangen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Taraxaci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Pugongying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Yinhua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Chrysanthemi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Juhua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Lonicerae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Japonicae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Caulis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Rendongteng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Phragmitis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Lugen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Imperatae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Baimaogen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Viticis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Manjingzi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Qingfei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Jiebiao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decoction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Kangguan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No. 2 Recipe)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（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br/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(for COVID-19 patients with accumulation of pathogenic heat in the lung pattern)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Kuxingren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Platycodonis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Jiegeng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Pheretima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Dilong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Poria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Fuling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Saposhnikoviae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Fangfeng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Praeparata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Melle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Mimahuang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Setariae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Germinatus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Guya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Peucedani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Qianhu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Trichosanthis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Pericarpium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Gualoupi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Chrysanthemi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Flos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Juhua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Forsythiae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Lianqiao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Fritillariae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Thunbergii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Bulbus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Zhebeimu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Citri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Reticulatae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Pericarpium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Chenpi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Mori Folium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Sangye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Medicated Leaven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Liushenqu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Hordei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Germinatus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Maiya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Cynanchi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Stauntonii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et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Baiqian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Chibai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Rougan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decoction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Kangguan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No. 3 Recipe) (1)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(for COVID-19 patients with depressed liver-gallbladder heat pattern)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Poria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Fuling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Coicis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Yiyiren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Corydalis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Yanhusuo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Paeoniae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Alba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Baishao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Paeoniae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Rubra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Chishao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Atractylodis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Macrocephalae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Baizhu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Artemisiae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Scopariae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Yinchen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Platycladi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Baiziren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Sepiae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Endoconcha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Haipiaoxiao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Pseudostellariae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lastRenderedPageBreak/>
              <w:t xml:space="preserve">Radix 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Taizishen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Glycyrrhizae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Gancao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Amomi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Fructus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Sharen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Curcumae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Yujin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Angelicae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Sinensis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Danggui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Imperatae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Baimaogen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Pyrrosiae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Shiwei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Galli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Gigerii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Endothelium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Corneum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Jineijin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Puerariae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Lobatae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Gegen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Astragali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Huangqi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Self-made decoction(1) (for ordinary COVID-19 patients)</w:t>
            </w:r>
          </w:p>
        </w:tc>
        <w:tc>
          <w:tcPr>
            <w:tcW w:w="1994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Atractylodis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Cangzhu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Magnoliae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Officinalis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Cortex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Houpo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Pogostemonis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Huoxiang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Caoguo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Cicadae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Periostracum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Chantui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Zingiberis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Recens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Shengjiang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Polygoni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Cuspidate Rhizome et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Huzhang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F56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Self-made decoction(1) (for severe COVID-19 patients)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Ephedrae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Herba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Mahung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Armeniacae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Amarum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Xingren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Eriobotryae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Folium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Pipaye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Descurainae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Lepidii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Tinglizi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Sinapis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Baijiezi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Raphani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Laifeuzi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Arecae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Semen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Binglang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),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Rhei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Radix et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Rhizoma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Dahuang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Polygoni</w:t>
            </w:r>
            <w:proofErr w:type="spellEnd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Cuspidate Rhizome et Radix</w:t>
            </w:r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Huzhang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), along with a traditional Chinese mineral, 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Gypsum </w:t>
            </w:r>
            <w:proofErr w:type="spellStart"/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>Fibrosum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 xml:space="preserve"> (</w:t>
            </w:r>
            <w:proofErr w:type="spellStart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Shigao</w:t>
            </w:r>
            <w:proofErr w:type="spellEnd"/>
            <w:r>
              <w:rPr>
                <w:rStyle w:val="font21"/>
                <w:rFonts w:eastAsia="宋体"/>
                <w:sz w:val="18"/>
                <w:szCs w:val="18"/>
                <w:lang w:bidi="ar"/>
              </w:rPr>
              <w:t>)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</w:tr>
      <w:tr w:rsidR="00F56197" w:rsidTr="00D109EE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197" w:rsidRDefault="00D109EE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Note: SR: systematic review and /or meta-analysis; NA: not available; CDDP: Compound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Danshen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dripping pill; CHD: coronary heart disease; the number is how many studies are using the intervention</w:t>
            </w:r>
            <w:r w:rsidR="00C060F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; RDNI: </w:t>
            </w:r>
            <w:proofErr w:type="spellStart"/>
            <w:r w:rsidR="00C060F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Reduning</w:t>
            </w:r>
            <w:proofErr w:type="spellEnd"/>
            <w:r w:rsidR="00C060F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injection</w:t>
            </w:r>
          </w:p>
        </w:tc>
      </w:tr>
    </w:tbl>
    <w:p w:rsidR="00F56197" w:rsidRDefault="00F56197"/>
    <w:sectPr w:rsidR="00F5619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5758C"/>
    <w:rsid w:val="00114C48"/>
    <w:rsid w:val="006A3063"/>
    <w:rsid w:val="008A2B25"/>
    <w:rsid w:val="00C060F3"/>
    <w:rsid w:val="00D109EE"/>
    <w:rsid w:val="00F56197"/>
    <w:rsid w:val="1D9E4DD0"/>
    <w:rsid w:val="3BA154CC"/>
    <w:rsid w:val="651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EAE03B-25BF-4C83-BF2A-45C416E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i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8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Calibri" w:hAnsi="Calibri" w:cs="Calibri" w:hint="default"/>
      <w:i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1834</Words>
  <Characters>10454</Characters>
  <Application>Microsoft Office Word</Application>
  <DocSecurity>0</DocSecurity>
  <Lines>87</Lines>
  <Paragraphs>24</Paragraphs>
  <ScaleCrop>false</ScaleCrop>
  <Company>chinaunicom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JennyLu</dc:creator>
  <cp:lastModifiedBy>yangming</cp:lastModifiedBy>
  <cp:revision>5</cp:revision>
  <dcterms:created xsi:type="dcterms:W3CDTF">2020-03-26T14:32:00Z</dcterms:created>
  <dcterms:modified xsi:type="dcterms:W3CDTF">2020-04-06T02:10:00Z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