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41" w:rsidRPr="000A0EB0" w:rsidRDefault="00746041" w:rsidP="00746041">
      <w:pPr>
        <w:spacing w:line="240" w:lineRule="auto"/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t>Additional file</w:t>
      </w:r>
      <w:r w:rsidRPr="000A0EB0">
        <w:rPr>
          <w:rFonts w:ascii="Times New Roman" w:hAnsi="Times New Roman" w:cs="Times New Roman"/>
          <w:b/>
          <w:szCs w:val="28"/>
          <w:lang w:val="en-GB"/>
        </w:rPr>
        <w:t xml:space="preserve"> 1.</w:t>
      </w:r>
    </w:p>
    <w:tbl>
      <w:tblPr>
        <w:tblStyle w:val="Oformateradtabell2"/>
        <w:tblpPr w:leftFromText="141" w:rightFromText="141" w:vertAnchor="text" w:horzAnchor="margin" w:tblpY="332"/>
        <w:tblW w:w="14280" w:type="dxa"/>
        <w:tblLayout w:type="fixed"/>
        <w:tblLook w:val="04A0" w:firstRow="1" w:lastRow="0" w:firstColumn="1" w:lastColumn="0" w:noHBand="0" w:noVBand="1"/>
      </w:tblPr>
      <w:tblGrid>
        <w:gridCol w:w="3729"/>
        <w:gridCol w:w="1775"/>
        <w:gridCol w:w="1720"/>
        <w:gridCol w:w="1775"/>
        <w:gridCol w:w="1776"/>
        <w:gridCol w:w="1783"/>
        <w:gridCol w:w="1722"/>
      </w:tblGrid>
      <w:tr w:rsidR="00746041" w:rsidRPr="00FB22B6" w:rsidTr="00746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Characteristic</w:t>
            </w:r>
          </w:p>
        </w:tc>
        <w:tc>
          <w:tcPr>
            <w:tcW w:w="3495" w:type="dxa"/>
            <w:gridSpan w:val="2"/>
            <w:vAlign w:val="center"/>
            <w:hideMark/>
          </w:tcPr>
          <w:p w:rsidR="00746041" w:rsidRPr="00FB22B6" w:rsidRDefault="00746041" w:rsidP="00746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after 1 year</w:t>
            </w:r>
          </w:p>
        </w:tc>
        <w:tc>
          <w:tcPr>
            <w:tcW w:w="3551" w:type="dxa"/>
            <w:gridSpan w:val="2"/>
            <w:vAlign w:val="center"/>
          </w:tcPr>
          <w:p w:rsidR="00746041" w:rsidRPr="00FB22B6" w:rsidRDefault="00746041" w:rsidP="00746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after 2 years</w:t>
            </w:r>
          </w:p>
        </w:tc>
        <w:tc>
          <w:tcPr>
            <w:tcW w:w="3505" w:type="dxa"/>
            <w:gridSpan w:val="2"/>
            <w:vAlign w:val="center"/>
          </w:tcPr>
          <w:p w:rsidR="00746041" w:rsidRPr="00FB22B6" w:rsidRDefault="00746041" w:rsidP="00746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after 5 years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bottom w:val="nil"/>
            </w:tcBorders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5" w:type="dxa"/>
            <w:tcBorders>
              <w:bottom w:val="nil"/>
            </w:tcBorders>
            <w:hideMark/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20" w:type="dxa"/>
            <w:tcBorders>
              <w:bottom w:val="nil"/>
            </w:tcBorders>
            <w:hideMark/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  <w:tc>
          <w:tcPr>
            <w:tcW w:w="1775" w:type="dxa"/>
            <w:tcBorders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76" w:type="dxa"/>
            <w:tcBorders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  <w:tc>
          <w:tcPr>
            <w:tcW w:w="1783" w:type="dxa"/>
            <w:tcBorders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22" w:type="dxa"/>
            <w:tcBorders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  <w:t>66 (30.1)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153 (69.9)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71 (34.1)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137 (65.9)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61 (34.1)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118 (65.9)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Female,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46 (69.7)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109 (71.2)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58 (81.7)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88 (64.2)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45 (73.8)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82 (69.5)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Age, mean (SD), years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60.1 (13.7)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63.2 (13.5)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56.7 (15.9)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61.8 (14.0)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60.0 (13.0)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58.8 (15.3)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 xml:space="preserve">Symptom duration, months 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8.0 (6.0–10.3)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7.0 (5.0–10.0)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(5.0–10.0)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(5.0–10.0)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8.0 (6.0–10.0)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(5.0–9.0)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RF positive,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41 (62.1)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94 (61.4)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46 (64.8)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79 (57.7)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38 (62.3)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77 (65.3)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 xml:space="preserve">Anti-CCP positive, n/N (%) 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40/61 (65.6)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69/128 (53.9)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36/62 (58.1)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66/118 (55.9)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30/55 (54.5)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61/100 (61.0)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Prednisolone,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29 (43.9)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55 (35.9)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32 (45.1)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46 (33.6)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24 (39.3)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40 (33.9)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Methotrexate,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33 (50.0)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82 (53.6)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37 (52.1)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74 (54.0)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30 (49.1)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67 (56.8)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No DMARD,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9 (13.6)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29 (19.0)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16 (22.5)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19 (13.9)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 (8.2)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22 (18.6)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Erosion,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7 (10.6)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27 (17.6)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 (8.5)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 (18.2)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 (13.1)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23 (19.5)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Body Mass Index,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25.5 (5.1)</w:t>
            </w:r>
            <w:r w:rsidRPr="00FB22B6"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  <w:t>a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25.4 (3.8)</w:t>
            </w:r>
            <w:r w:rsidRPr="00FB22B6"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  <w:t>b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25.5 (4.6)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25.6 (4.0)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25.2 (3.9)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e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25.4 (4.0)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Current smoking, n/N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20/49 (40.8)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ertAlign w:val="superscript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33/106 (31.1)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14/51 (27.5)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33/96 (34.4)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17/47 (36.2)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22/76 (28.9)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  <w:right w:val="nil"/>
            </w:tcBorders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Grip force, % of expected, mean (SD)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  <w:vAlign w:val="center"/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33.8 (22.6)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g</w: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  <w:vAlign w:val="center"/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41.0 (26.1)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h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33.8 (24.8)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i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41.7 (25.4)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j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34.2 (24.9)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k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40.4 (26.3)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l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VAS pain,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51.1 (23.6)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37.4 (27.0)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48.1 (23.7)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36.7 (27.4)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46.4 (24.4)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37.5 (27.5)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DAS28,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4.9 (1.3)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4.6 (1.5)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4.9 (1.5)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4.5 (1.4)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4.7 (1.2)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4.6 (1.5)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SJC28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7.0 (4.0–10.0)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en-GB"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7.0 (5.0–11.0)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(4.0–11-0)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(5.0–11.0)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6.0 (4.0–8.0)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7.5 (4.8–12.0)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TJC28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6.0 (3.0–11.0)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3.0 (1.0–8.5)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5.0 (3.0–10-0)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3.0 (1.0–10.0)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5.0 (2.0–8.0)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4.0 (1.0–10.3)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HAQ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1.0 (0.6–1.4)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0.8 (0.3–1.1)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1.0 (0.5–1.5)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0.8 (0.3–1.1)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0.8 (0.4–1.1)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0.8 (0.3–1.3)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CRP (mg/l)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&lt;9 (&lt;9–22.0)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val="en-GB" w:eastAsia="sv-SE"/>
              </w:rPr>
              <w:t>10.0 (&lt;9–30.0)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&lt;9 (&lt;9–32.0)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9.0 (&lt;9–24.0)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9.0 (&lt;9–17.5)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10.0 (&lt;9–32.5)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CRP&gt;9 mg/l,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33 (50.0)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79 (51.6)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33 (46.5)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72 (52.6)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31 (50.8)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64 (54.2)</w:t>
            </w:r>
          </w:p>
        </w:tc>
      </w:tr>
      <w:tr w:rsidR="00746041" w:rsidRPr="00FB22B6" w:rsidTr="007460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ESR (mm/h)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19.5 (10.0–44.0)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21.0 (10.0–41.5)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19.0 (10.0–44.0)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21.0 (10.0–43.0)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19.0 (10.0–31.5)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746041" w:rsidRPr="00FB22B6" w:rsidRDefault="00746041" w:rsidP="00746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24.0 (11.0–47.8)</w:t>
            </w:r>
          </w:p>
        </w:tc>
      </w:tr>
      <w:tr w:rsidR="00746041" w:rsidRPr="00FB22B6" w:rsidTr="0074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</w:tcBorders>
            <w:hideMark/>
          </w:tcPr>
          <w:p w:rsidR="00746041" w:rsidRPr="00FB22B6" w:rsidRDefault="00746041" w:rsidP="0074604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VAS PGA, mean (SD)</w:t>
            </w:r>
          </w:p>
        </w:tc>
        <w:tc>
          <w:tcPr>
            <w:tcW w:w="1775" w:type="dxa"/>
            <w:tcBorders>
              <w:top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50.7 (25.7)</w:t>
            </w:r>
          </w:p>
        </w:tc>
        <w:tc>
          <w:tcPr>
            <w:tcW w:w="1720" w:type="dxa"/>
            <w:tcBorders>
              <w:top w:val="nil"/>
            </w:tcBorders>
          </w:tcPr>
          <w:p w:rsidR="00746041" w:rsidRPr="00FB22B6" w:rsidRDefault="00746041" w:rsidP="007460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FB22B6">
              <w:rPr>
                <w:rFonts w:ascii="Times New Roman" w:eastAsia="Times New Roman" w:hAnsi="Times New Roman" w:cs="Times New Roman"/>
                <w:lang w:eastAsia="sv-SE"/>
              </w:rPr>
              <w:t>41.0 (27.0)</w:t>
            </w:r>
          </w:p>
        </w:tc>
        <w:tc>
          <w:tcPr>
            <w:tcW w:w="1775" w:type="dxa"/>
            <w:tcBorders>
              <w:top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50.5 (24.3)</w:t>
            </w:r>
          </w:p>
        </w:tc>
        <w:tc>
          <w:tcPr>
            <w:tcW w:w="1776" w:type="dxa"/>
            <w:tcBorders>
              <w:top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39.4 (27.5)</w:t>
            </w:r>
          </w:p>
        </w:tc>
        <w:tc>
          <w:tcPr>
            <w:tcW w:w="1783" w:type="dxa"/>
            <w:tcBorders>
              <w:top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51.0 (22.8)</w:t>
            </w:r>
          </w:p>
        </w:tc>
        <w:tc>
          <w:tcPr>
            <w:tcW w:w="1722" w:type="dxa"/>
            <w:tcBorders>
              <w:top w:val="nil"/>
            </w:tcBorders>
          </w:tcPr>
          <w:p w:rsidR="00746041" w:rsidRPr="00FB22B6" w:rsidRDefault="00746041" w:rsidP="0074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38.8 (27.7)</w:t>
            </w:r>
          </w:p>
        </w:tc>
      </w:tr>
    </w:tbl>
    <w:p w:rsidR="00746041" w:rsidRPr="000A0EB0" w:rsidRDefault="00746041" w:rsidP="00746041">
      <w:pPr>
        <w:spacing w:line="240" w:lineRule="auto"/>
        <w:rPr>
          <w:rFonts w:ascii="Times New Roman" w:hAnsi="Times New Roman" w:cs="Times New Roman"/>
          <w:szCs w:val="28"/>
          <w:lang w:val="en-GB"/>
        </w:rPr>
      </w:pPr>
      <w:r w:rsidRPr="000A0EB0">
        <w:rPr>
          <w:rFonts w:ascii="Times New Roman" w:hAnsi="Times New Roman" w:cs="Times New Roman"/>
          <w:szCs w:val="28"/>
          <w:lang w:val="en-GB"/>
        </w:rPr>
        <w:t>Title: Baseline characteristics in early RA patients with or without unacceptable pain at follow-ups</w:t>
      </w:r>
    </w:p>
    <w:p w:rsidR="00746041" w:rsidRPr="0016626E" w:rsidRDefault="00746041" w:rsidP="00746041">
      <w:pPr>
        <w:spacing w:line="240" w:lineRule="auto"/>
        <w:rPr>
          <w:rFonts w:ascii="Times New Roman" w:hAnsi="Times New Roman" w:cs="Times New Roman"/>
          <w:szCs w:val="28"/>
          <w:lang w:val="en-GB"/>
        </w:rPr>
        <w:sectPr w:rsidR="00746041" w:rsidRPr="0016626E" w:rsidSect="00746041">
          <w:pgSz w:w="16838" w:h="11906" w:orient="landscape"/>
          <w:pgMar w:top="851" w:right="1417" w:bottom="567" w:left="1417" w:header="708" w:footer="708" w:gutter="0"/>
          <w:cols w:space="708"/>
          <w:docGrid w:linePitch="360"/>
        </w:sectPr>
      </w:pPr>
      <w:r w:rsidRPr="000A0EB0">
        <w:rPr>
          <w:rFonts w:ascii="Times New Roman" w:hAnsi="Times New Roman" w:cs="Times New Roman"/>
          <w:szCs w:val="28"/>
          <w:lang w:val="en-GB"/>
        </w:rPr>
        <w:t xml:space="preserve">Legend: Values are median (interquartile range) unless otherwise indicated.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a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for body mass index in 48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b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106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c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51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d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95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e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46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f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76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g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for grip force in 55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h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136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i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63 cases. 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j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123 cases. 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k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59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l</w:t>
      </w:r>
      <w:r w:rsidRPr="000A0EB0">
        <w:rPr>
          <w:rFonts w:ascii="Times New Roman" w:hAnsi="Times New Roman" w:cs="Times New Roman"/>
          <w:szCs w:val="28"/>
          <w:lang w:val="en-GB"/>
        </w:rPr>
        <w:t>Data in 105 cases.</w:t>
      </w:r>
      <w:r w:rsidRPr="000A0EB0">
        <w:rPr>
          <w:rFonts w:ascii="Times New Roman" w:hAnsi="Times New Roman" w:cs="Times New Roman"/>
          <w:szCs w:val="28"/>
          <w:lang w:val="en-GB"/>
        </w:rPr>
        <w:br/>
        <w:t>VAS: visual analogue scale; SD: standard deviation; RF: rheumatoid factor; Anti-CCP: anti-cyclic citrullinated peptide; DMARD: disease-modifying anti-rheumatic drug; DAS28: disease activity score in 28 joints; SJC28: swollen joint count in 28 joints; TJC28: tender joint count in 28 joints; HAQ: health assessment questionnaire; CRP: C-reactive protein; ESR: erythrocyte sedimentation rate;</w:t>
      </w:r>
      <w:r w:rsidR="00A26EBB">
        <w:rPr>
          <w:rFonts w:ascii="Times New Roman" w:hAnsi="Times New Roman" w:cs="Times New Roman"/>
          <w:szCs w:val="28"/>
          <w:lang w:val="en-GB"/>
        </w:rPr>
        <w:t xml:space="preserve"> PGA: patient global assessment.</w:t>
      </w:r>
      <w:bookmarkStart w:id="0" w:name="_GoBack"/>
      <w:bookmarkEnd w:id="0"/>
    </w:p>
    <w:p w:rsidR="00F815A3" w:rsidRPr="00746041" w:rsidRDefault="00F815A3">
      <w:pPr>
        <w:rPr>
          <w:lang w:val="en-GB"/>
        </w:rPr>
      </w:pPr>
    </w:p>
    <w:sectPr w:rsidR="00F815A3" w:rsidRPr="00746041" w:rsidSect="00746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1"/>
    <w:rsid w:val="00746041"/>
    <w:rsid w:val="00A26EBB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AE47-F21E-4432-B687-DA322AF5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2">
    <w:name w:val="Plain Table 2"/>
    <w:basedOn w:val="Normaltabell"/>
    <w:uiPriority w:val="42"/>
    <w:rsid w:val="007460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2021-02-15T16:25:00Z</dcterms:created>
  <dcterms:modified xsi:type="dcterms:W3CDTF">2021-02-15T16:27:00Z</dcterms:modified>
</cp:coreProperties>
</file>