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2ED1" w14:textId="77777777" w:rsidR="00CA7129" w:rsidRPr="00B80199" w:rsidRDefault="00CA7129" w:rsidP="00CA7129">
      <w:pPr>
        <w:rPr>
          <w:rFonts w:asciiTheme="majorHAnsi" w:hAnsiTheme="majorHAnsi" w:cstheme="majorHAnsi"/>
          <w:b/>
          <w:sz w:val="21"/>
          <w:szCs w:val="21"/>
        </w:rPr>
      </w:pPr>
      <w:r w:rsidRPr="00B80199">
        <w:rPr>
          <w:rFonts w:asciiTheme="majorHAnsi" w:hAnsiTheme="majorHAnsi" w:cstheme="majorHAnsi"/>
          <w:b/>
          <w:sz w:val="21"/>
          <w:szCs w:val="21"/>
        </w:rPr>
        <w:t>Additional File 2 – Preliminary CMO configurations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102"/>
        <w:gridCol w:w="4223"/>
        <w:gridCol w:w="2317"/>
      </w:tblGrid>
      <w:tr w:rsidR="00CA7129" w:rsidRPr="005A5F45" w14:paraId="15FBF7C0" w14:textId="77777777" w:rsidTr="00D41D04">
        <w:tc>
          <w:tcPr>
            <w:tcW w:w="2102" w:type="dxa"/>
            <w:tcBorders>
              <w:left w:val="nil"/>
              <w:bottom w:val="nil"/>
              <w:right w:val="nil"/>
            </w:tcBorders>
          </w:tcPr>
          <w:p w14:paraId="6EF5E309" w14:textId="77777777" w:rsidR="00CA7129" w:rsidRPr="005A5F45" w:rsidRDefault="00CA7129" w:rsidP="00D41D0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5A5F4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Relationships</w:t>
            </w:r>
          </w:p>
        </w:tc>
        <w:tc>
          <w:tcPr>
            <w:tcW w:w="4223" w:type="dxa"/>
            <w:tcBorders>
              <w:left w:val="nil"/>
              <w:bottom w:val="nil"/>
              <w:right w:val="nil"/>
            </w:tcBorders>
          </w:tcPr>
          <w:p w14:paraId="6A13CBAD" w14:textId="77777777" w:rsidR="00CA7129" w:rsidRPr="005A5F45" w:rsidRDefault="00CA7129" w:rsidP="00D41D0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14:paraId="14798BFC" w14:textId="77777777" w:rsidR="00CA7129" w:rsidRPr="005A5F45" w:rsidRDefault="00CA7129" w:rsidP="00D41D0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CA7129" w:rsidRPr="005A5F45" w14:paraId="5F37ED15" w14:textId="77777777" w:rsidTr="00D41D0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E5C32E0" w14:textId="77777777" w:rsidR="00CA7129" w:rsidRPr="005A5F45" w:rsidRDefault="00CA7129" w:rsidP="00D41D04">
            <w:pP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5A5F4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Context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3218A912" w14:textId="77777777" w:rsidR="00CA7129" w:rsidRPr="005A5F45" w:rsidRDefault="00CA7129" w:rsidP="00D41D04">
            <w:pP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5A5F4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Mechanisms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771AEE61" w14:textId="77777777" w:rsidR="00CA7129" w:rsidRPr="005A5F45" w:rsidRDefault="00CA7129" w:rsidP="00D41D04">
            <w:pP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5A5F4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Outcomes</w:t>
            </w:r>
          </w:p>
        </w:tc>
      </w:tr>
      <w:tr w:rsidR="00CA7129" w:rsidRPr="005A5F45" w14:paraId="69AF5616" w14:textId="77777777" w:rsidTr="00D41D0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F8F238E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Positive relationships between midwives and women, between midwives regardless of where they work and between MW &amp; the MDT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3153F220" w14:textId="77777777" w:rsidR="00CA7129" w:rsidRPr="005A5F45" w:rsidRDefault="00CA7129" w:rsidP="00CA7129">
            <w:pPr>
              <w:pStyle w:val="ListParagraph"/>
              <w:numPr>
                <w:ilvl w:val="0"/>
                <w:numId w:val="1"/>
              </w:numPr>
              <w:ind w:left="338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Women get to know their midwife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 xml:space="preserve"> which builds trust, this makes them feel safe, relaxed, empowered and confident. Midwives get to know women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 xml:space="preserve"> which builds trust and confidence and sense of responsibility.</w:t>
            </w:r>
          </w:p>
          <w:p w14:paraId="7C7C930F" w14:textId="77777777" w:rsidR="00CA7129" w:rsidRPr="005A5F45" w:rsidRDefault="00CA7129" w:rsidP="00CA7129">
            <w:pPr>
              <w:pStyle w:val="ListParagraph"/>
              <w:numPr>
                <w:ilvl w:val="0"/>
                <w:numId w:val="1"/>
              </w:numPr>
              <w:ind w:left="338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 xml:space="preserve">Midwives are empowered because they trust in each other’s skills, share responsibility and provide positive support </w:t>
            </w:r>
          </w:p>
          <w:p w14:paraId="522293B2" w14:textId="77777777" w:rsidR="00CA7129" w:rsidRPr="005A5F45" w:rsidRDefault="00CA7129" w:rsidP="00CA7129">
            <w:pPr>
              <w:pStyle w:val="ListParagraph"/>
              <w:numPr>
                <w:ilvl w:val="0"/>
                <w:numId w:val="1"/>
              </w:numPr>
              <w:ind w:left="338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 xml:space="preserve">Midwives and managers are empowered because they feel trusted and able to trust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1388E736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Implementation of CMC model of care</w:t>
            </w:r>
          </w:p>
          <w:p w14:paraId="061ACA67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Improved care giving experience, care culture, satisfaction with care and clinical outcomes</w:t>
            </w:r>
          </w:p>
          <w:p w14:paraId="4CD38558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 xml:space="preserve">Better wellbeing </w:t>
            </w:r>
          </w:p>
        </w:tc>
      </w:tr>
      <w:tr w:rsidR="00CA7129" w:rsidRPr="005A5F45" w14:paraId="7DD1BA85" w14:textId="77777777" w:rsidTr="00D41D0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6867106" w14:textId="77777777" w:rsidR="00CA7129" w:rsidRPr="005A5F45" w:rsidRDefault="00CA7129" w:rsidP="00D41D04">
            <w:pPr>
              <w:rPr>
                <w:rFonts w:asciiTheme="majorHAnsi" w:hAnsiTheme="majorHAnsi" w:cstheme="majorHAnsi"/>
                <w:b/>
                <w:bCs/>
                <w:sz w:val="21"/>
                <w:szCs w:val="22"/>
              </w:rPr>
            </w:pPr>
            <w:r w:rsidRPr="005A5F45">
              <w:rPr>
                <w:rFonts w:asciiTheme="majorHAnsi" w:hAnsiTheme="majorHAnsi" w:cstheme="majorHAnsi"/>
                <w:b/>
                <w:bCs/>
                <w:sz w:val="21"/>
                <w:szCs w:val="22"/>
              </w:rPr>
              <w:t>Practice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6EAA9D49" w14:textId="77777777" w:rsidR="00CA7129" w:rsidRPr="005A5F45" w:rsidRDefault="00CA7129" w:rsidP="00D41D04">
            <w:pPr>
              <w:rPr>
                <w:rFonts w:asciiTheme="majorHAnsi" w:hAnsiTheme="majorHAnsi" w:cstheme="majorHAnsi"/>
                <w:b/>
                <w:bCs/>
                <w:sz w:val="21"/>
                <w:szCs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2260FCDF" w14:textId="77777777" w:rsidR="00CA7129" w:rsidRPr="005A5F45" w:rsidRDefault="00CA7129" w:rsidP="00D41D04">
            <w:pPr>
              <w:rPr>
                <w:rFonts w:asciiTheme="majorHAnsi" w:hAnsiTheme="majorHAnsi" w:cstheme="majorHAnsi"/>
                <w:b/>
                <w:bCs/>
                <w:sz w:val="21"/>
                <w:szCs w:val="22"/>
              </w:rPr>
            </w:pPr>
          </w:p>
        </w:tc>
      </w:tr>
      <w:tr w:rsidR="00CA7129" w:rsidRPr="005A5F45" w14:paraId="04AFB297" w14:textId="77777777" w:rsidTr="00D41D0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1ED7367" w14:textId="77777777" w:rsidR="00CA7129" w:rsidRPr="005A5F45" w:rsidRDefault="00CA7129" w:rsidP="00D41D04">
            <w:pP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5A5F4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Context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3D71369F" w14:textId="77777777" w:rsidR="00CA7129" w:rsidRPr="005A5F45" w:rsidRDefault="00CA7129" w:rsidP="00D41D04">
            <w:pP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5A5F4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Mechanisms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3B494382" w14:textId="77777777" w:rsidR="00CA7129" w:rsidRPr="005A5F45" w:rsidRDefault="00CA7129" w:rsidP="00D41D04">
            <w:pP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5A5F4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Outcomes</w:t>
            </w:r>
          </w:p>
        </w:tc>
      </w:tr>
      <w:tr w:rsidR="00CA7129" w:rsidRPr="005A5F45" w14:paraId="2C904058" w14:textId="77777777" w:rsidTr="00D41D0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362EE98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CMC enables midwives to practise to full skill set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65682FB5" w14:textId="77777777" w:rsidR="00CA7129" w:rsidRPr="005A5F45" w:rsidRDefault="00CA7129" w:rsidP="00CA712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Empowered to practice autonomously, provide flexible, holistic care, use an evidence informed approach to meet women’s individual needs, ensure women are at the centre of their care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FB2192" w14:textId="77777777" w:rsidR="00CA7129" w:rsidRPr="00F00D8C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00D8C">
              <w:rPr>
                <w:rFonts w:asciiTheme="majorHAnsi" w:hAnsiTheme="majorHAnsi" w:cstheme="majorHAnsi"/>
                <w:sz w:val="18"/>
                <w:szCs w:val="18"/>
              </w:rPr>
              <w:t>Implementation of CMC model of care</w:t>
            </w:r>
          </w:p>
          <w:p w14:paraId="0543D0AF" w14:textId="77777777" w:rsidR="00CA7129" w:rsidRPr="00F00D8C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00D8C">
              <w:rPr>
                <w:rFonts w:asciiTheme="majorHAnsi" w:hAnsiTheme="majorHAnsi" w:cstheme="majorHAnsi"/>
                <w:sz w:val="18"/>
                <w:szCs w:val="18"/>
              </w:rPr>
              <w:t>Woman centred (individualised) care and satisfaction with care</w:t>
            </w:r>
          </w:p>
          <w:p w14:paraId="15A9799B" w14:textId="77777777" w:rsidR="00CA7129" w:rsidRPr="00F00D8C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00D8C">
              <w:rPr>
                <w:rFonts w:asciiTheme="majorHAnsi" w:hAnsiTheme="majorHAnsi" w:cstheme="majorHAnsi"/>
                <w:sz w:val="18"/>
                <w:szCs w:val="18"/>
              </w:rPr>
              <w:t>Evidence based care</w:t>
            </w:r>
          </w:p>
          <w:p w14:paraId="21AAF358" w14:textId="77777777" w:rsidR="00CA7129" w:rsidRPr="00F00D8C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00D8C">
              <w:rPr>
                <w:rFonts w:asciiTheme="majorHAnsi" w:hAnsiTheme="majorHAnsi" w:cstheme="majorHAnsi"/>
                <w:sz w:val="18"/>
                <w:szCs w:val="18"/>
              </w:rPr>
              <w:t>Confidence</w:t>
            </w:r>
          </w:p>
          <w:p w14:paraId="36464E1C" w14:textId="77777777" w:rsidR="00CA7129" w:rsidRPr="00F00D8C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00D8C">
              <w:rPr>
                <w:rFonts w:asciiTheme="majorHAnsi" w:hAnsiTheme="majorHAnsi" w:cstheme="majorHAnsi"/>
                <w:sz w:val="18"/>
                <w:szCs w:val="18"/>
              </w:rPr>
              <w:t>Development and Midwife role satisfaction</w:t>
            </w:r>
          </w:p>
          <w:p w14:paraId="422F6B87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3CEE57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9" w:rsidRPr="005A5F45" w14:paraId="00F05E29" w14:textId="77777777" w:rsidTr="00D41D0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5014769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Midwives believe in CMC/ have positive experience of CMC / already practising, or trying to practise, in a holistic woman centred manner.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0D1D6003" w14:textId="77777777" w:rsidR="00CA7129" w:rsidRPr="005A5F45" w:rsidRDefault="00CA7129" w:rsidP="00CA712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Motivated to engage and support CMC.</w:t>
            </w:r>
          </w:p>
        </w:tc>
        <w:tc>
          <w:tcPr>
            <w:tcW w:w="2317" w:type="dxa"/>
            <w:vMerge/>
            <w:tcBorders>
              <w:left w:val="nil"/>
              <w:bottom w:val="nil"/>
              <w:right w:val="nil"/>
            </w:tcBorders>
          </w:tcPr>
          <w:p w14:paraId="3AF916E7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9" w:rsidRPr="005A5F45" w14:paraId="4715BAFF" w14:textId="77777777" w:rsidTr="00D41D0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058EDE3" w14:textId="77777777" w:rsidR="00CA7129" w:rsidRPr="005A5F45" w:rsidRDefault="00CA7129" w:rsidP="00D41D04">
            <w:pPr>
              <w:rPr>
                <w:rFonts w:asciiTheme="majorHAnsi" w:hAnsiTheme="majorHAnsi" w:cstheme="majorHAnsi"/>
                <w:b/>
                <w:bCs/>
                <w:sz w:val="21"/>
                <w:szCs w:val="22"/>
              </w:rPr>
            </w:pPr>
            <w:r w:rsidRPr="005A5F45">
              <w:rPr>
                <w:rFonts w:asciiTheme="majorHAnsi" w:hAnsiTheme="majorHAnsi" w:cstheme="majorHAnsi"/>
                <w:b/>
                <w:bCs/>
                <w:sz w:val="21"/>
                <w:szCs w:val="22"/>
              </w:rPr>
              <w:t>Leadership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0EAAF0A4" w14:textId="77777777" w:rsidR="00CA7129" w:rsidRPr="005A5F45" w:rsidRDefault="00CA7129" w:rsidP="00D41D04">
            <w:pPr>
              <w:rPr>
                <w:rFonts w:asciiTheme="majorHAnsi" w:hAnsiTheme="majorHAnsi" w:cstheme="majorHAnsi"/>
                <w:b/>
                <w:bCs/>
                <w:sz w:val="21"/>
                <w:szCs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EDE7405" w14:textId="77777777" w:rsidR="00CA7129" w:rsidRPr="005A5F45" w:rsidRDefault="00CA7129" w:rsidP="00D41D04">
            <w:pPr>
              <w:rPr>
                <w:rFonts w:asciiTheme="majorHAnsi" w:hAnsiTheme="majorHAnsi" w:cstheme="majorHAnsi"/>
                <w:b/>
                <w:bCs/>
                <w:sz w:val="21"/>
                <w:szCs w:val="22"/>
              </w:rPr>
            </w:pPr>
          </w:p>
        </w:tc>
      </w:tr>
      <w:tr w:rsidR="00CA7129" w:rsidRPr="005A5F45" w14:paraId="046EB728" w14:textId="77777777" w:rsidTr="00D41D0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7B39C42" w14:textId="77777777" w:rsidR="00CA7129" w:rsidRPr="005A5F45" w:rsidRDefault="00CA7129" w:rsidP="00D41D04">
            <w:pP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5A5F4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Context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307E5EBA" w14:textId="77777777" w:rsidR="00CA7129" w:rsidRPr="005A5F45" w:rsidRDefault="00CA7129" w:rsidP="00D41D04">
            <w:pP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5A5F4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Mechanisms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7B04DBBC" w14:textId="77777777" w:rsidR="00CA7129" w:rsidRPr="005A5F45" w:rsidRDefault="00CA7129" w:rsidP="00D41D04">
            <w:pP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5A5F4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Outcomes</w:t>
            </w:r>
          </w:p>
        </w:tc>
      </w:tr>
      <w:tr w:rsidR="00CA7129" w:rsidRPr="005A5F45" w14:paraId="50747BBC" w14:textId="77777777" w:rsidTr="00D41D04"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536C0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Good leadership and management of organisational change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22695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Mutual trust and feeling supported</w:t>
            </w:r>
          </w:p>
          <w:p w14:paraId="284F233B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Enable to engage with change required to make CMC happen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76712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CMC model implemented</w:t>
            </w:r>
          </w:p>
          <w:p w14:paraId="5A0A192B" w14:textId="77777777" w:rsidR="00CA7129" w:rsidRPr="005A5F45" w:rsidRDefault="00CA7129" w:rsidP="00D41D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F45">
              <w:rPr>
                <w:rFonts w:asciiTheme="majorHAnsi" w:hAnsiTheme="majorHAnsi" w:cstheme="majorHAnsi"/>
                <w:sz w:val="18"/>
                <w:szCs w:val="18"/>
              </w:rPr>
              <w:t>Midwives feel in control of their work and have a good work-life balance</w:t>
            </w:r>
          </w:p>
        </w:tc>
      </w:tr>
    </w:tbl>
    <w:p w14:paraId="78A51B9E" w14:textId="77777777" w:rsidR="00324751" w:rsidRDefault="0003117A"/>
    <w:sectPr w:rsidR="00324751" w:rsidSect="002737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340B0"/>
    <w:multiLevelType w:val="hybridMultilevel"/>
    <w:tmpl w:val="B2D2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06267"/>
    <w:multiLevelType w:val="hybridMultilevel"/>
    <w:tmpl w:val="9C8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3117A"/>
    <w:rsid w:val="002737FD"/>
    <w:rsid w:val="003474AF"/>
    <w:rsid w:val="004051B1"/>
    <w:rsid w:val="004358BD"/>
    <w:rsid w:val="005C3B62"/>
    <w:rsid w:val="005E1912"/>
    <w:rsid w:val="00A92AEB"/>
    <w:rsid w:val="00C75A6C"/>
    <w:rsid w:val="00CA7129"/>
    <w:rsid w:val="00D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83A3B"/>
  <w15:chartTrackingRefBased/>
  <w15:docId w15:val="{5724A53F-DB38-6E45-AC85-1265BFC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29"/>
    <w:pPr>
      <w:ind w:left="720"/>
      <w:contextualSpacing/>
    </w:pPr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CA7129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McInnes</dc:creator>
  <cp:keywords/>
  <dc:description/>
  <cp:lastModifiedBy>Rhona McInnes</cp:lastModifiedBy>
  <cp:revision>2</cp:revision>
  <dcterms:created xsi:type="dcterms:W3CDTF">2020-03-24T01:20:00Z</dcterms:created>
  <dcterms:modified xsi:type="dcterms:W3CDTF">2020-03-24T01:20:00Z</dcterms:modified>
</cp:coreProperties>
</file>