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9A03" w14:textId="77777777" w:rsidR="00C63373" w:rsidRPr="0036591F" w:rsidRDefault="00C63373" w:rsidP="00C63373">
      <w:pPr>
        <w:pStyle w:val="BodyText"/>
        <w:spacing w:line="480" w:lineRule="auto"/>
      </w:pPr>
    </w:p>
    <w:p w14:paraId="13C8157F" w14:textId="77777777" w:rsidR="00C63373" w:rsidRDefault="00C63373" w:rsidP="00C63373">
      <w:pPr>
        <w:pStyle w:val="Heading1"/>
        <w:spacing w:line="480" w:lineRule="auto"/>
      </w:pPr>
      <w:bookmarkStart w:id="0" w:name="X0a9e7e7bedddea3a082336c372d3647ae7e5447"/>
      <w:r>
        <w:t xml:space="preserve">Appendix: Bias for estimating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sub>
        </m:sSub>
      </m:oMath>
      <w:r>
        <w:t xml:space="preserve"> from imputed data when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</w:rPr>
          <m:t>=U</m:t>
        </m:r>
      </m:oMath>
      <w:bookmarkEnd w:id="0"/>
    </w:p>
    <w:p w14:paraId="7DED69A6" w14:textId="77777777" w:rsidR="00C63373" w:rsidRDefault="00C63373" w:rsidP="00C63373">
      <w:pPr>
        <w:pStyle w:val="FirstParagraph"/>
        <w:spacing w:line="480" w:lineRule="auto"/>
      </w:pPr>
      <w:r>
        <w:t xml:space="preserve">Here we give an informal justification for the bias result. In this section we use the superscript </w:t>
      </w:r>
      <m:oMath>
        <m:r>
          <w:rPr>
            <w:rFonts w:ascii="Cambria Math" w:hAnsi="Cambria Math"/>
          </w:rPr>
          <m:t>*</m:t>
        </m:r>
      </m:oMath>
      <w:r>
        <w:t xml:space="preserve"> to denote true values of parameters.</w:t>
      </w:r>
    </w:p>
    <w:p w14:paraId="17FAEE35" w14:textId="77777777" w:rsidR="00C63373" w:rsidRDefault="00C63373" w:rsidP="00C63373">
      <w:pPr>
        <w:pStyle w:val="BodyText"/>
        <w:spacing w:line="480" w:lineRule="auto"/>
      </w:pPr>
      <w:r>
        <w:t>First consider the imputation model</w:t>
      </w:r>
    </w:p>
    <w:p w14:paraId="1091261F" w14:textId="77777777" w:rsidR="00C63373" w:rsidRDefault="00C63373" w:rsidP="00C63373">
      <w:pPr>
        <w:pStyle w:val="BodyText"/>
        <w:spacing w:line="480" w:lineRule="auto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14:paraId="2B7035F3" w14:textId="77777777" w:rsidR="00C63373" w:rsidRDefault="00C63373" w:rsidP="00C63373">
      <w:pPr>
        <w:pStyle w:val="FirstParagraph"/>
        <w:spacing w:line="480" w:lineRule="auto"/>
      </w:pPr>
      <w:r>
        <w:t xml:space="preserve">for </w:t>
      </w:r>
      <m:oMath>
        <m:r>
          <m:rPr>
            <m:scr m:val="script"/>
            <m:sty m:val="p"/>
          </m:rP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>={i: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A,i</m:t>
            </m:r>
          </m:sub>
        </m:sSub>
        <m:r>
          <w:rPr>
            <w:rFonts w:ascii="Cambria Math" w:hAnsi="Cambria Math"/>
          </w:rPr>
          <m:t>=0}</m:t>
        </m:r>
      </m:oMath>
      <w:r>
        <w:t xml:space="preserve">, i.e. non-missing </w:t>
      </w:r>
      <m:oMath>
        <m:r>
          <w:rPr>
            <w:rFonts w:ascii="Cambria Math" w:hAnsi="Cambria Math"/>
          </w:rPr>
          <m:t>A</m:t>
        </m:r>
      </m:oMath>
      <w:r>
        <w:t xml:space="preserve">s, with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∼N(0,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τ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. Note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does not appear in this model because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=0</m:t>
        </m:r>
      </m:oMath>
      <w:r>
        <w:t xml:space="preserve"> for all </w:t>
      </w:r>
      <m:oMath>
        <m:r>
          <w:rPr>
            <w:rFonts w:ascii="Cambria Math" w:hAnsi="Cambria Math"/>
          </w:rPr>
          <m:t>i∈</m:t>
        </m:r>
        <m:r>
          <m:rPr>
            <m:scr m:val="script"/>
            <m:sty m:val="p"/>
          </m:rPr>
          <w:rPr>
            <w:rFonts w:ascii="Cambria Math" w:hAnsi="Cambria Math"/>
          </w:rPr>
          <m:t>J</m:t>
        </m:r>
      </m:oMath>
      <w:r>
        <w:t>.</w:t>
      </w:r>
    </w:p>
    <w:p w14:paraId="0AD27815" w14:textId="77777777" w:rsidR="00C63373" w:rsidRDefault="00C63373" w:rsidP="00C63373">
      <w:pPr>
        <w:pStyle w:val="BodyText"/>
        <w:spacing w:line="480" w:lineRule="auto"/>
      </w:pPr>
      <w:r>
        <w:t xml:space="preserve">Now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∼N(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Y,i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>
        <w:t xml:space="preserve"> for </w:t>
      </w:r>
      <m:oMath>
        <m:r>
          <w:rPr>
            <w:rFonts w:ascii="Cambria Math" w:hAnsi="Cambria Math"/>
          </w:rPr>
          <m:t>i∈</m:t>
        </m:r>
        <m:r>
          <m:rPr>
            <m:scr m:val="script"/>
            <m:sty m:val="p"/>
          </m:rPr>
          <w:rPr>
            <w:rFonts w:ascii="Cambria Math" w:hAnsi="Cambria Math"/>
          </w:rPr>
          <m:t>J</m:t>
        </m:r>
      </m:oMath>
      <w:r>
        <w:t>. In analogy with p175 of [</w:t>
      </w:r>
      <w:hyperlink w:anchor="ref-Frost2000">
        <w:r>
          <w:rPr>
            <w:rStyle w:val="Hyperlink"/>
          </w:rPr>
          <w:t>11</w:t>
        </w:r>
      </w:hyperlink>
      <w:r>
        <w:t xml:space="preserve">], consider a hypothetical imputation model based 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Y,i</m:t>
            </m:r>
          </m:sub>
        </m:sSub>
      </m:oMath>
      <w:r>
        <w:t>:</w:t>
      </w:r>
    </w:p>
    <w:p w14:paraId="47557813" w14:textId="77777777" w:rsidR="00C63373" w:rsidRDefault="00C63373" w:rsidP="00C63373">
      <w:pPr>
        <w:pStyle w:val="BodyText"/>
        <w:spacing w:line="480" w:lineRule="auto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Y,i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ξ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14:paraId="34EC3E74" w14:textId="77777777" w:rsidR="00C63373" w:rsidRDefault="00C63373" w:rsidP="00C63373">
      <w:pPr>
        <w:pStyle w:val="FirstParagraph"/>
        <w:spacing w:line="480" w:lineRule="auto"/>
      </w:pPr>
      <w:r>
        <w:t xml:space="preserve">from which it is apparent that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Y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=1/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. Additionally, across all observations, </w:t>
      </w:r>
      <m:oMath>
        <m:r>
          <m:rPr>
            <m:sty m:val="p"/>
          </m:rPr>
          <w:rPr>
            <w:rFonts w:ascii="Cambria Math" w:hAnsi="Cambria Math"/>
          </w:rPr>
          <m:t>Var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)=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​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*2</m:t>
            </m:r>
          </m:sup>
        </m:sSubSup>
      </m:oMath>
    </w:p>
    <w:p w14:paraId="6624C1E7" w14:textId="77777777" w:rsidR="00C63373" w:rsidRDefault="00C63373" w:rsidP="00C63373">
      <w:pPr>
        <w:pStyle w:val="BodyText"/>
        <w:spacing w:line="480" w:lineRule="auto"/>
      </w:pPr>
      <w:r>
        <w:t>In analogy with [</w:t>
      </w:r>
      <w:hyperlink w:anchor="ref-Frost2000">
        <w:r>
          <w:rPr>
            <w:rStyle w:val="Hyperlink"/>
          </w:rPr>
          <w:t>11</w:t>
        </w:r>
      </w:hyperlink>
      <w:r>
        <w:t>] (referencing [</w:t>
      </w:r>
      <w:hyperlink w:anchor="ref-Snedecor1968">
        <w:r>
          <w:rPr>
            <w:rStyle w:val="Hyperlink"/>
          </w:rPr>
          <w:t>17</w:t>
        </w:r>
      </w:hyperlink>
      <w:r>
        <w:t>]) we have that</w:t>
      </w:r>
    </w:p>
    <w:p w14:paraId="2B2FABFD" w14:textId="77777777" w:rsidR="00C63373" w:rsidRDefault="00C63373" w:rsidP="00C63373">
      <w:pPr>
        <w:pStyle w:val="BodyText"/>
        <w:spacing w:line="480" w:lineRule="auto"/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5EE5C00E" w14:textId="77777777" w:rsidR="00C63373" w:rsidRDefault="00C63373" w:rsidP="00C63373">
      <w:pPr>
        <w:pStyle w:val="FirstParagraph"/>
        <w:spacing w:line="480" w:lineRule="auto"/>
      </w:pPr>
      <w:r>
        <w:t xml:space="preserve">Moreover,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=0</m:t>
        </m:r>
      </m:oMath>
      <w:r>
        <w:t xml:space="preserve"> because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 are both centred.</w:t>
      </w:r>
    </w:p>
    <w:p w14:paraId="2F05CD4D" w14:textId="77777777" w:rsidR="00C63373" w:rsidRDefault="00C63373" w:rsidP="00C63373">
      <w:pPr>
        <w:pStyle w:val="BodyText"/>
        <w:spacing w:line="480" w:lineRule="auto"/>
      </w:pPr>
      <w:r>
        <w:lastRenderedPageBreak/>
        <w:t xml:space="preserve">The imputation model is then used to impute values for the missing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s i.e. for </w:t>
      </w:r>
      <m:oMath>
        <m:r>
          <w:rPr>
            <w:rFonts w:ascii="Cambria Math" w:hAnsi="Cambria Math"/>
          </w:rPr>
          <m:t>i∉</m:t>
        </m:r>
        <m:r>
          <m:rPr>
            <m:scr m:val="script"/>
            <m:sty m:val="p"/>
          </m:rPr>
          <w:rPr>
            <w:rFonts w:ascii="Cambria Math" w:hAnsi="Cambria Math"/>
          </w:rPr>
          <m:t>J</m:t>
        </m:r>
      </m:oMath>
      <w:r>
        <w:t>, if we knew the true imputation model,</w:t>
      </w:r>
    </w:p>
    <w:p w14:paraId="0CA1D240" w14:textId="77777777" w:rsidR="00C63373" w:rsidRDefault="00C63373" w:rsidP="00C63373">
      <w:pPr>
        <w:pStyle w:val="BodyText"/>
        <w:spacing w:line="480" w:lineRule="auto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i,imp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</m:den>
          </m:f>
          <m:r>
            <w:rPr>
              <w:rFonts w:ascii="Cambria Math" w:hAnsi="Cambria Math"/>
            </w:rPr>
            <m:t>(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14:paraId="370B9B78" w14:textId="77777777" w:rsidR="00C63373" w:rsidRDefault="00C63373" w:rsidP="00C63373">
      <w:pPr>
        <w:pStyle w:val="FirstParagraph"/>
        <w:spacing w:line="480" w:lineRule="auto"/>
      </w:pPr>
      <w:r>
        <w:t>Returning to the outcome model,</w:t>
      </w:r>
    </w:p>
    <w:p w14:paraId="5358299A" w14:textId="77777777" w:rsidR="00C63373" w:rsidRDefault="00C63373" w:rsidP="00C63373">
      <w:pPr>
        <w:pStyle w:val="BodyText"/>
        <w:spacing w:line="480" w:lineRule="auto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14:paraId="7840DF12" w14:textId="77777777" w:rsidR="00C63373" w:rsidRDefault="00C63373" w:rsidP="00C63373">
      <w:pPr>
        <w:pStyle w:val="FirstParagraph"/>
        <w:spacing w:line="480" w:lineRule="auto"/>
      </w:pPr>
      <w:r>
        <w:t xml:space="preserve">In the absence of missing data, we would of course simply solve using least squares, and if </w:t>
      </w:r>
      <m:oMath>
        <m:r>
          <w:rPr>
            <w:rFonts w:ascii="Cambria Math" w:hAnsi="Cambria Math"/>
          </w:rPr>
          <m:t>γ=(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(γ)=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, then </w:t>
      </w:r>
      <m:oMath>
        <m:acc>
          <m:accPr>
            <m:chr m:val="̃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γ</m:t>
            </m:r>
          </m:e>
        </m:ac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argmin</m:t>
        </m:r>
        <m:r>
          <w:rPr>
            <w:rFonts w:ascii="Cambria Math" w:hAnsi="Cambria Math"/>
          </w:rPr>
          <m:t>(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(</m:t>
            </m:r>
          </m:e>
        </m:nary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, then of course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γ</m:t>
                </m:r>
              </m:e>
            </m:acc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w:rPr>
            <w:rFonts w:ascii="Cambria Math" w:hAnsi="Cambria Math"/>
          </w:rPr>
          <m:t>]=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U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>.</w:t>
      </w:r>
    </w:p>
    <w:p w14:paraId="6BBAA57B" w14:textId="77777777" w:rsidR="00C63373" w:rsidRDefault="00C63373" w:rsidP="00C63373">
      <w:pPr>
        <w:pStyle w:val="BodyText"/>
        <w:spacing w:line="480" w:lineRule="auto"/>
      </w:pPr>
      <w:r>
        <w:t xml:space="preserve">As we have missing data, rewriting the outcome model to replace the missing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s with their imputed versions, for substitution into the least squares formula we have:</w:t>
      </w:r>
    </w:p>
    <w:p w14:paraId="726B47E8" w14:textId="77777777" w:rsidR="00C63373" w:rsidRDefault="00C63373" w:rsidP="00C63373">
      <w:pPr>
        <w:pStyle w:val="BodyText"/>
        <w:spacing w:line="480" w:lineRule="auto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(γ)=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((1-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)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i,imp</m:t>
              </m:r>
            </m:sub>
          </m:sSub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14:paraId="18B28299" w14:textId="77777777" w:rsidR="00C63373" w:rsidRDefault="00C63373" w:rsidP="00C63373">
      <w:pPr>
        <w:pStyle w:val="FirstParagraph"/>
        <w:spacing w:line="480" w:lineRule="auto"/>
      </w:pPr>
      <w:r>
        <w:t>The residual sum of squares can then be written as</w:t>
      </w:r>
    </w:p>
    <w:p w14:paraId="1348F00A" w14:textId="77777777" w:rsidR="00C63373" w:rsidRDefault="00C63373" w:rsidP="00C63373">
      <w:pPr>
        <w:pStyle w:val="BodyText"/>
        <w:spacing w:line="480" w:lineRule="auto"/>
      </w:pPr>
      <m:oMathPara>
        <m:oMathParaPr>
          <m:jc m:val="center"/>
        </m:oMathParaPr>
        <m:oMath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γ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argmin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)+(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κ-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+(-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κ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δ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κ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>,</m:t>
          </m:r>
        </m:oMath>
      </m:oMathPara>
    </w:p>
    <w:p w14:paraId="702D7BE8" w14:textId="77777777" w:rsidR="00C63373" w:rsidRDefault="00C63373" w:rsidP="00C63373">
      <w:pPr>
        <w:pStyle w:val="FirstParagraph"/>
        <w:spacing w:line="480" w:lineRule="auto"/>
      </w:pPr>
      <w:r>
        <w:t xml:space="preserve">where </w:t>
      </w:r>
      <m:oMath>
        <m:r>
          <w:rPr>
            <w:rFonts w:ascii="Cambria Math" w:hAnsi="Cambria Math"/>
          </w:rPr>
          <m:t>κ=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*2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*2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*2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  <m:sup>
                <m:r>
                  <w:rPr>
                    <w:rFonts w:ascii="Cambria Math" w:hAnsi="Cambria Math"/>
                  </w:rPr>
                  <m:t>*2</m:t>
                </m:r>
              </m:sup>
            </m:sSubSup>
          </m:den>
        </m:f>
      </m:oMath>
      <w:r>
        <w:t>.</w:t>
      </w:r>
    </w:p>
    <w:p w14:paraId="1BF7700A" w14:textId="77777777" w:rsidR="00C63373" w:rsidRDefault="00C63373" w:rsidP="00C63373">
      <w:pPr>
        <w:pStyle w:val="BodyText"/>
        <w:spacing w:line="480" w:lineRule="auto"/>
      </w:pPr>
      <w:r>
        <w:t xml:space="preserve">To consider </w:t>
      </w:r>
      <w:proofErr w:type="spellStart"/>
      <w:r>
        <w:t>minimising</w:t>
      </w:r>
      <w:proofErr w:type="spellEnd"/>
      <w:r>
        <w:t xml:space="preserve"> this expression, consider each bracket in turn. To </w:t>
      </w:r>
      <w:proofErr w:type="spellStart"/>
      <w:r>
        <w:t>minimise</w:t>
      </w:r>
      <w:proofErr w:type="spellEnd"/>
      <w:r>
        <w:t xml:space="preserve"> the first bracket, it is clear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γ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]=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. It is also apparent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γ</m:t>
                </m:r>
              </m:e>
            </m:acc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]=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, since we must </w:t>
      </w:r>
      <w:r>
        <w:lastRenderedPageBreak/>
        <w:t>minimise the second bracket, and the fourth and fifth brackets are add</w:t>
      </w:r>
      <w:proofErr w:type="spellStart"/>
      <w:r>
        <w:t>itional</w:t>
      </w:r>
      <w:proofErr w:type="spellEnd"/>
      <w:r>
        <w:t xml:space="preserve"> error contributed by the imputed data, which cannot be reduced. This leaves the third bracket, which is </w:t>
      </w:r>
      <w:proofErr w:type="spellStart"/>
      <w:r>
        <w:t>minimised</w:t>
      </w:r>
      <w:proofErr w:type="spellEnd"/>
      <w:r>
        <w:t xml:space="preserve"> with</w:t>
      </w:r>
    </w:p>
    <w:p w14:paraId="7E91F3BD" w14:textId="77777777" w:rsidR="00C63373" w:rsidRDefault="00C63373" w:rsidP="00C63373">
      <w:pPr>
        <w:pStyle w:val="BodyText"/>
        <w:spacing w:line="480" w:lineRule="auto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[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κ-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]=0.</m:t>
          </m:r>
        </m:oMath>
      </m:oMathPara>
    </w:p>
    <w:p w14:paraId="40409E22" w14:textId="77777777" w:rsidR="00C63373" w:rsidRDefault="00C63373" w:rsidP="00C63373">
      <w:pPr>
        <w:pStyle w:val="FirstParagraph"/>
        <w:spacing w:line="480" w:lineRule="auto"/>
      </w:pPr>
      <w:r>
        <w:t>Rearranging yields,</w:t>
      </w:r>
    </w:p>
    <w:p w14:paraId="09FF5D97" w14:textId="77777777" w:rsidR="00C63373" w:rsidRDefault="00C63373" w:rsidP="00C63373">
      <w:pPr>
        <w:pStyle w:val="BodyText"/>
        <w:spacing w:line="480" w:lineRule="auto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[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]=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*2</m:t>
                  </m:r>
                </m:sup>
              </m:sSubSup>
            </m:den>
          </m:f>
          <m:r>
            <w:rPr>
              <w:rFonts w:ascii="Cambria Math" w:hAnsi="Cambria Math"/>
            </w:rPr>
            <m:t>,</m:t>
          </m:r>
        </m:oMath>
      </m:oMathPara>
    </w:p>
    <w:p w14:paraId="24B6182A" w14:textId="77777777" w:rsidR="00C63373" w:rsidRDefault="00C63373" w:rsidP="00C63373">
      <w:pPr>
        <w:pStyle w:val="FirstParagraph"/>
        <w:spacing w:line="480" w:lineRule="auto"/>
      </w:pPr>
      <w:r>
        <w:t>as claimed.</w:t>
      </w:r>
    </w:p>
    <w:p w14:paraId="78C9C079" w14:textId="77777777" w:rsidR="00C63373" w:rsidRDefault="00C63373" w:rsidP="00C63373">
      <w:pPr>
        <w:pStyle w:val="Heading1"/>
        <w:spacing w:line="480" w:lineRule="auto"/>
      </w:pPr>
      <w:bookmarkStart w:id="1" w:name="supplementary-figures"/>
      <w:r>
        <w:lastRenderedPageBreak/>
        <w:t>Supplementary figures</w:t>
      </w:r>
      <w:bookmarkEnd w:id="1"/>
    </w:p>
    <w:p w14:paraId="6EE9CB27" w14:textId="77777777" w:rsidR="00C63373" w:rsidRDefault="00C63373" w:rsidP="00C63373">
      <w:pPr>
        <w:pStyle w:val="CaptionedFigure"/>
        <w:spacing w:line="480" w:lineRule="auto"/>
      </w:pPr>
      <w:r>
        <w:rPr>
          <w:noProof/>
          <w:lang w:val="en-GB" w:eastAsia="en-GB"/>
        </w:rPr>
        <w:drawing>
          <wp:inline distT="0" distB="0" distL="0" distR="0" wp14:anchorId="4D0CD9C4" wp14:editId="010B09B3">
            <wp:extent cx="5334000" cy="4572000"/>
            <wp:effectExtent l="0" t="0" r="0" b="0"/>
            <wp:docPr id="8" name="Picture" descr="Figure 8: Results for scenarios (i) and (ii). Average model based and empirical standard errors. Columns are different parameter estimates, rows are different values of \sigma_Y. Within each graph, the y-axis varies \beta_U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i_uc_paper_files/figure-docx/ggp-i-ii-se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39846" w14:textId="77777777" w:rsidR="00C63373" w:rsidRDefault="00C63373" w:rsidP="00C63373">
      <w:pPr>
        <w:pStyle w:val="ImageCaption"/>
        <w:spacing w:line="480" w:lineRule="auto"/>
      </w:pPr>
      <w:r>
        <w:t>Figure S1: Results for scenarios (</w:t>
      </w:r>
      <w:proofErr w:type="spellStart"/>
      <w:r>
        <w:t>i</w:t>
      </w:r>
      <w:proofErr w:type="spellEnd"/>
      <w:r>
        <w:t xml:space="preserve">) and (ii). Average model based and empirical standard errors. Columns are different parameter estimates, rows are different values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 xml:space="preserve">. Within each graph, the y-axis varies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t>.</w:t>
      </w:r>
    </w:p>
    <w:p w14:paraId="629567B4" w14:textId="77777777" w:rsidR="00C63373" w:rsidRDefault="00C63373" w:rsidP="00C63373">
      <w:pPr>
        <w:pStyle w:val="CaptionedFigure"/>
        <w:spacing w:line="480" w:lineRule="auto"/>
      </w:pPr>
      <w:r>
        <w:rPr>
          <w:noProof/>
          <w:lang w:val="en-GB" w:eastAsia="en-GB"/>
        </w:rPr>
        <w:lastRenderedPageBreak/>
        <w:drawing>
          <wp:inline distT="0" distB="0" distL="0" distR="0" wp14:anchorId="1F7FD52C" wp14:editId="0621B4DB">
            <wp:extent cx="5334000" cy="4572000"/>
            <wp:effectExtent l="0" t="0" r="0" b="0"/>
            <wp:docPr id="9" name="Picture" descr="Figure 9: Results for scenarios (ii) and (iii) with R_A = U. Average model based and empirical standard errors. Columns are different parameter estimates, rows are different values of \sigma_Y. Within each graph, the y-axis varies \alpha_U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i_uc_paper_files/figure-docx/ggp-ii-iii-eq-se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86006" w14:textId="77777777" w:rsidR="00C63373" w:rsidRDefault="00C63373" w:rsidP="00C63373">
      <w:pPr>
        <w:pStyle w:val="ImageCaption"/>
        <w:spacing w:line="480" w:lineRule="auto"/>
      </w:pPr>
      <w:r>
        <w:t xml:space="preserve">Figure S2: Results for scenarios (ii) and (iii) with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=U</m:t>
        </m:r>
      </m:oMath>
      <w:r>
        <w:t xml:space="preserve">. Average model based and empirical standard errors. Columns are different parameter estimates, rows are different values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 xml:space="preserve">. Within each graph, the y-axis varies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t>.</w:t>
      </w:r>
    </w:p>
    <w:p w14:paraId="744894C7" w14:textId="77777777" w:rsidR="00C63373" w:rsidRDefault="00C63373" w:rsidP="00C63373">
      <w:pPr>
        <w:pStyle w:val="CaptionedFigure"/>
        <w:spacing w:line="480" w:lineRule="auto"/>
      </w:pPr>
      <w:r>
        <w:rPr>
          <w:noProof/>
          <w:lang w:val="en-GB" w:eastAsia="en-GB"/>
        </w:rPr>
        <w:lastRenderedPageBreak/>
        <w:drawing>
          <wp:inline distT="0" distB="0" distL="0" distR="0" wp14:anchorId="5623F98E" wp14:editId="3D29A36D">
            <wp:extent cx="5334000" cy="4572000"/>
            <wp:effectExtent l="0" t="0" r="0" b="0"/>
            <wp:docPr id="10" name="Picture" descr="Figure 10: Results for scenario (iii). Average model based and empirical standard errors. Columns are different parameter estimates, rows are different values of \beta_U. Within each graph, the y-axis varies \alpha_U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i_uc_paper_files/figure-docx/ggp-iii-se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084E4" w14:textId="77777777" w:rsidR="00C63373" w:rsidRDefault="00C63373" w:rsidP="00C63373">
      <w:pPr>
        <w:pStyle w:val="ImageCaption"/>
        <w:spacing w:line="480" w:lineRule="auto"/>
      </w:pPr>
      <w:r>
        <w:t xml:space="preserve">Figure S3: Results for scenario (iii). Average model based and empirical standard errors. Columns are different parameter estimates, rows are different values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t xml:space="preserve">. Within each graph, the y-axis varies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t>.</w:t>
      </w:r>
    </w:p>
    <w:p w14:paraId="2076D634" w14:textId="77777777" w:rsidR="00C63373" w:rsidRDefault="00C63373" w:rsidP="00C63373">
      <w:pPr>
        <w:pStyle w:val="CaptionedFigure"/>
        <w:spacing w:line="480" w:lineRule="auto"/>
      </w:pPr>
      <w:r>
        <w:rPr>
          <w:noProof/>
          <w:lang w:val="en-GB" w:eastAsia="en-GB"/>
        </w:rPr>
        <w:lastRenderedPageBreak/>
        <w:drawing>
          <wp:inline distT="0" distB="0" distL="0" distR="0" wp14:anchorId="016F5EE0" wp14:editId="2897556C">
            <wp:extent cx="5334000" cy="4572000"/>
            <wp:effectExtent l="0" t="0" r="0" b="0"/>
            <wp:docPr id="11" name="Picture" descr="Figure 11: Results for scenarios (iv). Average model based and empirical standard errors. Columns are different parameter estimates, rows are different values of \sigma_Y. Within each graph, the y-axis varies \beta_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i_uc_paper_files/figure-docx/ggp-iv-se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44549" w14:textId="77777777" w:rsidR="00C63373" w:rsidRDefault="00C63373" w:rsidP="00C63373">
      <w:pPr>
        <w:pStyle w:val="ImageCaption"/>
        <w:spacing w:line="480" w:lineRule="auto"/>
      </w:pPr>
      <w:r>
        <w:t xml:space="preserve">Figure S4: Results for scenarios (iv). Average model based and empirical standard errors. Columns are different parameter estimates, rows are different values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 xml:space="preserve">. Within each graph, the y-axis varies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>.</w:t>
      </w:r>
    </w:p>
    <w:p w14:paraId="60E2C46E" w14:textId="77777777" w:rsidR="00C63373" w:rsidRDefault="00C63373" w:rsidP="00C63373">
      <w:pPr>
        <w:pStyle w:val="CaptionedFigure"/>
        <w:spacing w:line="480" w:lineRule="auto"/>
      </w:pPr>
      <w:r>
        <w:rPr>
          <w:noProof/>
          <w:lang w:val="en-GB" w:eastAsia="en-GB"/>
        </w:rPr>
        <w:lastRenderedPageBreak/>
        <w:drawing>
          <wp:inline distT="0" distB="0" distL="0" distR="0" wp14:anchorId="50B4E3DB" wp14:editId="469622CF">
            <wp:extent cx="5334000" cy="4572000"/>
            <wp:effectExtent l="0" t="0" r="0" b="0"/>
            <wp:docPr id="12" name="Picture" descr="Figure 12: Results for scenarios (v). Average model based and empirical standard errors. Columns are different parameter estimates, rows are different values of \beta_U. Within each graph, the y-axis varies \beta_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i_uc_paper_files/figure-docx/ggp-v-se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691AA" w14:textId="77777777" w:rsidR="00C63373" w:rsidRDefault="00C63373" w:rsidP="00C63373">
      <w:pPr>
        <w:pStyle w:val="ImageCaption"/>
        <w:spacing w:line="480" w:lineRule="auto"/>
      </w:pPr>
      <w:r>
        <w:t xml:space="preserve">Figure S5: Results for scenarios (v). Average model based and empirical standard errors. Columns are different parameter estimates, rows are different values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t xml:space="preserve">. Within each graph, the y-axis varies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>.</w:t>
      </w:r>
    </w:p>
    <w:p w14:paraId="095F2192" w14:textId="77777777" w:rsidR="00C63373" w:rsidRDefault="00C63373" w:rsidP="00C63373">
      <w:pPr>
        <w:pStyle w:val="CaptionedFigure"/>
        <w:spacing w:line="480" w:lineRule="auto"/>
      </w:pPr>
      <w:r>
        <w:rPr>
          <w:noProof/>
          <w:lang w:val="en-GB" w:eastAsia="en-GB"/>
        </w:rPr>
        <w:lastRenderedPageBreak/>
        <w:drawing>
          <wp:inline distT="0" distB="0" distL="0" distR="0" wp14:anchorId="08C2440E" wp14:editId="1FB9934C">
            <wp:extent cx="5334000" cy="4572000"/>
            <wp:effectExtent l="0" t="0" r="0" b="0"/>
            <wp:docPr id="13" name="Picture" descr="Figure 13: Results for scenario (vi). Average model based and empirical standard errors. Columns are different parameter estimates, rows are different values of \beta_U. Within each graph, the y-axis varies \beta_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i_uc_paper_files/figure-docx/ggp-vi-se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7866D" w14:textId="77777777" w:rsidR="00C63373" w:rsidRDefault="00C63373" w:rsidP="00C63373">
      <w:pPr>
        <w:pStyle w:val="ImageCaption"/>
        <w:spacing w:line="480" w:lineRule="auto"/>
      </w:pPr>
      <w:r>
        <w:t xml:space="preserve">Figure S6: Results for scenario (vi). Average model based and empirical standard errors. Columns are different parameter estimates, rows are different values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t xml:space="preserve">. Within each graph, the y-axis varies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>.</w:t>
      </w:r>
    </w:p>
    <w:p w14:paraId="087E2CD8" w14:textId="77777777" w:rsidR="00C63373" w:rsidRDefault="00C63373"/>
    <w:sectPr w:rsidR="00C6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73"/>
    <w:rsid w:val="00C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005C"/>
  <w15:chartTrackingRefBased/>
  <w15:docId w15:val="{278C9018-3D8C-4A6D-BE59-2196E55B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C633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37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qFormat/>
    <w:rsid w:val="00C63373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3373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C63373"/>
  </w:style>
  <w:style w:type="paragraph" w:customStyle="1" w:styleId="ImageCaption">
    <w:name w:val="Image Caption"/>
    <w:basedOn w:val="Caption"/>
    <w:rsid w:val="00C63373"/>
    <w:pPr>
      <w:spacing w:after="120"/>
    </w:pPr>
    <w:rPr>
      <w:iCs w:val="0"/>
      <w:color w:val="auto"/>
      <w:sz w:val="24"/>
      <w:szCs w:val="24"/>
    </w:rPr>
  </w:style>
  <w:style w:type="paragraph" w:customStyle="1" w:styleId="CaptionedFigure">
    <w:name w:val="Captioned Figure"/>
    <w:basedOn w:val="Normal"/>
    <w:rsid w:val="00C63373"/>
    <w:pPr>
      <w:keepNext/>
      <w:spacing w:after="200" w:line="240" w:lineRule="auto"/>
    </w:pPr>
    <w:rPr>
      <w:sz w:val="24"/>
      <w:szCs w:val="24"/>
    </w:rPr>
  </w:style>
  <w:style w:type="character" w:styleId="Hyperlink">
    <w:name w:val="Hyperlink"/>
    <w:basedOn w:val="DefaultParagraphFont"/>
    <w:rsid w:val="00C63373"/>
    <w:rPr>
      <w:color w:val="4472C4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337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Grant</dc:creator>
  <cp:keywords/>
  <dc:description/>
  <cp:lastModifiedBy>Katie Grant</cp:lastModifiedBy>
  <cp:revision>1</cp:revision>
  <dcterms:created xsi:type="dcterms:W3CDTF">2020-04-25T15:00:00Z</dcterms:created>
  <dcterms:modified xsi:type="dcterms:W3CDTF">2020-04-25T15:01:00Z</dcterms:modified>
</cp:coreProperties>
</file>