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65" w:rsidRPr="007E7164" w:rsidRDefault="00C12F65" w:rsidP="00C12F65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b/>
          <w:bCs/>
          <w:color w:val="000000"/>
          <w:sz w:val="20"/>
          <w:szCs w:val="20"/>
          <w:lang w:bidi="fa-IR"/>
        </w:rPr>
        <w:t xml:space="preserve">Table 1.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Characteristics of patients with type 2 diabetes mellitus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>.</w:t>
      </w:r>
    </w:p>
    <w:tbl>
      <w:tblPr>
        <w:tblpPr w:leftFromText="180" w:rightFromText="180" w:vertAnchor="page" w:horzAnchor="margin" w:tblpX="-572" w:tblpY="623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701"/>
        <w:gridCol w:w="1843"/>
        <w:gridCol w:w="1276"/>
      </w:tblGrid>
      <w:tr w:rsidR="00C12F65" w:rsidRPr="00865D33" w:rsidTr="00C12F65">
        <w:trPr>
          <w:trHeight w:val="1126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lef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Val-Met/ Met-Met</w:t>
            </w:r>
          </w:p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n=280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Val-Val</w:t>
            </w:r>
          </w:p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 354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C12F65" w:rsidRPr="00865D33" w:rsidTr="00C12F65">
        <w:trPr>
          <w:trHeight w:val="249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AGE, year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53.69 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6.71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54.36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 xml:space="preserve">± 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0.09ª</w:t>
            </w:r>
          </w:p>
        </w:tc>
      </w:tr>
      <w:tr w:rsidR="00C12F65" w:rsidRPr="00865D33" w:rsidTr="00C12F65">
        <w:trPr>
          <w:trHeight w:val="249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Weight, kg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77.44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14.42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74.82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13.25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ª</w:t>
            </w:r>
          </w:p>
        </w:tc>
      </w:tr>
      <w:tr w:rsidR="00C12F65" w:rsidRPr="00865D33" w:rsidTr="00C12F65">
        <w:trPr>
          <w:trHeight w:val="249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Height, cm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162.19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 xml:space="preserve">± 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160.11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8.89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BMI, kg/</w:t>
            </w:r>
            <m:oMath>
              <m:sSup>
                <m:sSupPr>
                  <m:ctrl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4.64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29.18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4.64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ª</w:t>
            </w:r>
          </w:p>
        </w:tc>
      </w:tr>
      <w:tr w:rsidR="00C12F65" w:rsidRPr="00865D33" w:rsidTr="00C12F65">
        <w:trPr>
          <w:trHeight w:val="249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Waist circumference, cm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92.52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10.13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91.98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10.8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37.76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6.11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 xml:space="preserve">± 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 ª</w:t>
            </w:r>
          </w:p>
        </w:tc>
      </w:tr>
      <w:tr w:rsidR="00C12F65" w:rsidRPr="00865D33" w:rsidTr="00C12F65">
        <w:trPr>
          <w:trHeight w:val="249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 history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(82.9%)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(79.9%)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0.3ᵇ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 disease history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(37.1%)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138(39%)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Glucose-lowering medications, no. (%)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 Without medications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(7.1%)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(6.5%)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0.7ᵇ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 Metformin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(7.1%)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(29.4%)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</w:t>
            </w:r>
            <w:proofErr w:type="spellStart"/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Glibenclamide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(5.9%)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Metformin +</w:t>
            </w:r>
            <w:proofErr w:type="spellStart"/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glibenclamide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(47.1%)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(51.1%)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Lipid-lowering medications, no. (%)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162(57.9%)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(54.5%)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Without medications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(42.1%)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(45.5%)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0.4ᵇ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 Atorvastatin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(48.9%)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(44.4%)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                    Simvastatin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(0.8)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Energy, kcal/d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589.6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687.9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Protein, g/d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Fat, g/d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100.9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Carbohydrate, g/day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lastRenderedPageBreak/>
              <w:t>Saturated fatty acids, g/day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Cholesterol, g/d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258.19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118.98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170.03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62.86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Monounsaturated fatty acids, g/day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35.06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n-3 PUFA, g/day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ª</w:t>
            </w:r>
          </w:p>
        </w:tc>
      </w:tr>
      <w:tr w:rsidR="00C12F65" w:rsidRPr="00865D33" w:rsidTr="00C12F65">
        <w:trPr>
          <w:trHeight w:val="265"/>
        </w:trPr>
        <w:tc>
          <w:tcPr>
            <w:tcW w:w="4224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Fiber, g/d</w:t>
            </w:r>
          </w:p>
        </w:tc>
        <w:tc>
          <w:tcPr>
            <w:tcW w:w="1701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</w:t>
            </w:r>
          </w:p>
        </w:tc>
        <w:tc>
          <w:tcPr>
            <w:tcW w:w="1843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18.46</w:t>
            </w:r>
          </w:p>
        </w:tc>
        <w:tc>
          <w:tcPr>
            <w:tcW w:w="1276" w:type="dxa"/>
            <w:shd w:val="clear" w:color="auto" w:fill="auto"/>
          </w:tcPr>
          <w:p w:rsidR="00C12F65" w:rsidRPr="00865D33" w:rsidRDefault="00C12F65" w:rsidP="00C12F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 ª</w:t>
            </w:r>
          </w:p>
        </w:tc>
      </w:tr>
    </w:tbl>
    <w:p w:rsidR="00C12F65" w:rsidRPr="00865D33" w:rsidRDefault="00C12F65" w:rsidP="00C12F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Pr="00865D33" w:rsidRDefault="00C12F65" w:rsidP="00C12F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Pr="00865D33" w:rsidRDefault="00C12F65" w:rsidP="00C12F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</w:p>
    <w:p w:rsidR="00C12F65" w:rsidRPr="00865D33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Data are Mean ± SD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Abbreviations: BMI body mass index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proofErr w:type="spellStart"/>
      <w:proofErr w:type="gramStart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a</w:t>
      </w:r>
      <w:proofErr w:type="spellEnd"/>
      <w:proofErr w:type="gramEnd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 Using the independent </w:t>
      </w:r>
      <w:r w:rsidRPr="00865D33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 xml:space="preserve">t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test 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proofErr w:type="gramStart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b</w:t>
      </w:r>
      <w:proofErr w:type="gramEnd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 Using the Chi-squared test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P &lt; 0.05 was considered significant.</w:t>
      </w:r>
    </w:p>
    <w:p w:rsidR="00C12F65" w:rsidRPr="00865D33" w:rsidRDefault="00C12F65" w:rsidP="00C12F65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Pr="00865D33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Pr="00865D33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Pr="00865D33" w:rsidRDefault="00C12F65" w:rsidP="00C12F65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b/>
          <w:bCs/>
          <w:color w:val="000000"/>
          <w:sz w:val="20"/>
          <w:szCs w:val="20"/>
          <w:lang w:bidi="fa-IR"/>
        </w:rPr>
        <w:t>Table 2.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 Comparison of clinical and laboratory parameters of participants according to BDNF Val66Met genotypes</w:t>
      </w:r>
    </w:p>
    <w:tbl>
      <w:tblPr>
        <w:tblW w:w="10459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1670"/>
      </w:tblGrid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left="-1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Val-Met/ Met-Met</w:t>
            </w:r>
          </w:p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n=280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Val-Val</w:t>
            </w:r>
          </w:p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 354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CRP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1.54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ª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PTX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ª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IL-18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250.19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246.55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 ª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TAC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ª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SOD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 ª</w:t>
            </w:r>
          </w:p>
        </w:tc>
      </w:tr>
      <w:tr w:rsidR="00C12F65" w:rsidRPr="00865D33" w:rsidTr="00C12F65">
        <w:trPr>
          <w:trHeight w:val="499"/>
        </w:trPr>
        <w:tc>
          <w:tcPr>
            <w:tcW w:w="3119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ind w:right="-7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  <w:lang w:bidi="fa-IR"/>
              </w:rPr>
              <w:t>PG2A</w:t>
            </w:r>
          </w:p>
        </w:tc>
        <w:tc>
          <w:tcPr>
            <w:tcW w:w="2977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71.23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2693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73.48</w: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>±</m:t>
              </m:r>
            </m:oMath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670" w:type="dxa"/>
            <w:shd w:val="clear" w:color="auto" w:fill="auto"/>
          </w:tcPr>
          <w:p w:rsidR="00C12F65" w:rsidRPr="00865D33" w:rsidRDefault="00C12F65" w:rsidP="002B628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 ª</w:t>
            </w:r>
          </w:p>
        </w:tc>
      </w:tr>
    </w:tbl>
    <w:p w:rsidR="00C12F65" w:rsidRPr="00865D33" w:rsidRDefault="00C12F65" w:rsidP="00C12F65">
      <w:pPr>
        <w:autoSpaceDE w:val="0"/>
        <w:autoSpaceDN w:val="0"/>
        <w:adjustRightInd w:val="0"/>
        <w:spacing w:after="0" w:line="480" w:lineRule="auto"/>
        <w:ind w:right="2940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Data are Mean ± SD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480" w:lineRule="auto"/>
        <w:ind w:right="2940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proofErr w:type="spellStart"/>
      <w:proofErr w:type="gramStart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a</w:t>
      </w:r>
      <w:proofErr w:type="spellEnd"/>
      <w:proofErr w:type="gramEnd"/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 Using the independent </w:t>
      </w:r>
      <w:r w:rsidRPr="00865D33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 xml:space="preserve">t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test</w:t>
      </w:r>
      <w:bookmarkStart w:id="0" w:name="_GoBack"/>
      <w:bookmarkEnd w:id="0"/>
    </w:p>
    <w:p w:rsidR="00C12F65" w:rsidRPr="00865D33" w:rsidRDefault="00C12F65" w:rsidP="00C12F65">
      <w:pPr>
        <w:autoSpaceDE w:val="0"/>
        <w:autoSpaceDN w:val="0"/>
        <w:adjustRightInd w:val="0"/>
        <w:spacing w:after="0" w:line="480" w:lineRule="auto"/>
        <w:ind w:right="294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Abbreviations: CRP: 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C-reactive protein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IL-18:Interleukin18, 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PGF2A: Prostaglandin F2-alpha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PTX: Pentrexin3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SOD: </w:t>
      </w:r>
      <w:r w:rsidRPr="00865D33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Superoxide dismutase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TAC: Total antioxidant cap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>acity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. P &lt; 0.05 was considered significant.</w:t>
      </w:r>
    </w:p>
    <w:p w:rsidR="00C12F65" w:rsidRPr="00865D33" w:rsidRDefault="00C12F65" w:rsidP="00C12F65">
      <w:pPr>
        <w:autoSpaceDE w:val="0"/>
        <w:autoSpaceDN w:val="0"/>
        <w:adjustRightInd w:val="0"/>
        <w:spacing w:after="0" w:line="480" w:lineRule="auto"/>
        <w:ind w:right="2940"/>
        <w:rPr>
          <w:rFonts w:ascii="Times New Roman" w:hAnsi="Times New Roman" w:cs="Times New Roman"/>
          <w:color w:val="000000"/>
          <w:sz w:val="18"/>
          <w:szCs w:val="18"/>
          <w:lang w:bidi="fa-IR"/>
        </w:rPr>
      </w:pPr>
    </w:p>
    <w:p w:rsidR="00C12F65" w:rsidRPr="00865D33" w:rsidRDefault="00C12F65" w:rsidP="00C12F65">
      <w:pPr>
        <w:spacing w:line="480" w:lineRule="auto"/>
        <w:ind w:right="2940"/>
        <w:rPr>
          <w:rFonts w:ascii="Times New Roman" w:hAnsi="Times New Roman" w:cs="Times New Roman"/>
          <w:color w:val="000000"/>
          <w:sz w:val="18"/>
          <w:szCs w:val="18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Default="00C12F65" w:rsidP="00C12F65">
      <w:pPr>
        <w:spacing w:line="480" w:lineRule="auto"/>
        <w:rPr>
          <w:rFonts w:ascii="Times New Roman" w:hAnsi="Times New Roman" w:cs="Times New Roman"/>
          <w:color w:val="000000"/>
        </w:rPr>
      </w:pPr>
    </w:p>
    <w:p w:rsidR="00C12F65" w:rsidRPr="007E7164" w:rsidRDefault="00C12F65" w:rsidP="00C12F65">
      <w:pPr>
        <w:ind w:left="-1134"/>
        <w:rPr>
          <w:rFonts w:ascii="Times New Roman" w:hAnsi="Times New Roman" w:cs="Times New Roman"/>
        </w:rPr>
      </w:pPr>
      <w:r w:rsidRPr="00865D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Table 3.</w:t>
      </w:r>
      <w:r w:rsidRPr="00865D33">
        <w:rPr>
          <w:rFonts w:ascii="Times New Roman" w:hAnsi="Times New Roman" w:cs="Times New Roman"/>
          <w:color w:val="000000"/>
          <w:sz w:val="20"/>
          <w:szCs w:val="20"/>
        </w:rPr>
        <w:t xml:space="preserve">  General and biochemical markers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 </w:t>
      </w:r>
      <w:r w:rsidRPr="00865D33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Different Quartiles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of </w:t>
      </w:r>
      <w:r w:rsidRPr="00865D33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Dietary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Quality Indices</w:t>
      </w:r>
    </w:p>
    <w:tbl>
      <w:tblPr>
        <w:tblpPr w:leftFromText="180" w:rightFromText="180" w:vertAnchor="text" w:horzAnchor="margin" w:tblpXSpec="center" w:tblpY="490"/>
        <w:tblW w:w="9497" w:type="dxa"/>
        <w:tblLook w:val="04A0" w:firstRow="1" w:lastRow="0" w:firstColumn="1" w:lastColumn="0" w:noHBand="0" w:noVBand="1"/>
      </w:tblPr>
      <w:tblGrid>
        <w:gridCol w:w="732"/>
        <w:gridCol w:w="1104"/>
        <w:gridCol w:w="1104"/>
        <w:gridCol w:w="1104"/>
        <w:gridCol w:w="576"/>
        <w:gridCol w:w="1024"/>
        <w:gridCol w:w="1024"/>
        <w:gridCol w:w="1024"/>
        <w:gridCol w:w="496"/>
        <w:gridCol w:w="1104"/>
        <w:gridCol w:w="1104"/>
        <w:gridCol w:w="1104"/>
        <w:gridCol w:w="496"/>
      </w:tblGrid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DQI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ind w:right="-2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HEI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P*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29.74±5.13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29.30±4.30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28.39±4.24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30.02±4.72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28.97±4.72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28.77±4.23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29.87±5.27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29.23±4.4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28.57±4.08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0.03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92.39±11.18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92.42±9.78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91.51±10.71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93.85±9.98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91.82±11.19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90.60±9.61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93.58±10.59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91.67±10.04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91.46±11.14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0.08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1.89±1.32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2.41±1.58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2.59±1.5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2.16±1.58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2.21±1.39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2.52±1.59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2.25±1.33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2.34±1.65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2.16±1.40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0.8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2.6±0.39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2.71±0.48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2.50±0.68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2.66±0.38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2.72±0.47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2.43±0.63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2.61±0.46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2.70±0.48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2.53±0.56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0.2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IL-18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253.22±28.35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245.98±27.93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244.01±28.29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252.5±27.18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246.1±27.95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245.6±30.04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246.53±25.67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248.61±29.51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248.52±28.81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0.9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2.52±0.59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2.48±0.56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2.51±0.59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2.55±0.51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2.50±0.63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2.44±0.56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2.45±0.52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2.52±0.57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2.52±0.64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0.8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PGF2A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72.45±5.5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72.31±7.25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73.36±5.54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72.34±6.49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71.37±6.52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74.96±5.41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71.97±6.35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72.88±6.21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72.52±6.58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0.7</w:t>
            </w:r>
          </w:p>
        </w:tc>
      </w:tr>
      <w:tr w:rsidR="00C12F65" w:rsidRPr="00865D33" w:rsidTr="00C12F65">
        <w:trPr>
          <w:trHeight w:val="420"/>
          <w:tblHeader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SOD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0.15±0.047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0.15±0.04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0.13±0.03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0.14±0.04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F65" w:rsidRPr="00865D33" w:rsidRDefault="00C12F65" w:rsidP="002B628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</w:pPr>
            <w:r w:rsidRPr="00865D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fa-IR"/>
              </w:rPr>
              <w:t>0.9</w:t>
            </w:r>
          </w:p>
        </w:tc>
      </w:tr>
    </w:tbl>
    <w:p w:rsidR="00C12F65" w:rsidRDefault="00C12F65" w:rsidP="00C12F65">
      <w:pPr>
        <w:autoSpaceDE w:val="0"/>
        <w:autoSpaceDN w:val="0"/>
        <w:adjustRightInd w:val="0"/>
        <w:spacing w:after="0" w:line="480" w:lineRule="auto"/>
        <w:ind w:right="-6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2F65" w:rsidRDefault="00C12F65" w:rsidP="00C12F65">
      <w:pPr>
        <w:autoSpaceDE w:val="0"/>
        <w:autoSpaceDN w:val="0"/>
        <w:adjustRightInd w:val="0"/>
        <w:spacing w:after="0" w:line="480" w:lineRule="auto"/>
        <w:ind w:right="-6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2F65" w:rsidRPr="00865D33" w:rsidRDefault="00C12F65" w:rsidP="00C12F65">
      <w:pPr>
        <w:autoSpaceDE w:val="0"/>
        <w:autoSpaceDN w:val="0"/>
        <w:adjustRightInd w:val="0"/>
        <w:spacing w:after="0"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  <w:lang w:bidi="fa-IR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Data are Mean ± SD</w:t>
      </w:r>
    </w:p>
    <w:p w:rsidR="00C12F65" w:rsidRPr="00865D33" w:rsidRDefault="00C12F65" w:rsidP="00C12F65">
      <w:pPr>
        <w:spacing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</w:rPr>
      </w:pPr>
      <w:r w:rsidRPr="00865D33">
        <w:rPr>
          <w:rFonts w:ascii="Times New Roman" w:eastAsia="Times New Roman" w:hAnsi="Times New Roman" w:cs="Times New Roman"/>
          <w:color w:val="000000"/>
          <w:sz w:val="20"/>
          <w:szCs w:val="20"/>
          <w:lang w:bidi="fa-IR"/>
        </w:rPr>
        <w:t>P*</w:t>
      </w:r>
      <w:r w:rsidRPr="00865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 one-way analysis of variance (ANOVA) was used to determine whether there are any statistically significant differences between the </w:t>
      </w:r>
      <w:r w:rsidRPr="00865D33">
        <w:rPr>
          <w:rFonts w:ascii="Times New Roman" w:hAnsi="Times New Roman" w:cs="Times New Roman"/>
          <w:color w:val="000000"/>
          <w:sz w:val="20"/>
          <w:szCs w:val="20"/>
        </w:rPr>
        <w:t>parameters and dietary indices among different quartiles.</w:t>
      </w:r>
    </w:p>
    <w:p w:rsidR="00C12F65" w:rsidRPr="00865D33" w:rsidRDefault="00C12F65" w:rsidP="00C12F65">
      <w:pPr>
        <w:spacing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</w:rPr>
      </w:pP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Abbreviations: BMI: Body mass index, CRP: 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C-reactive protein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IL-18:Interleukin18, </w:t>
      </w:r>
      <w:r w:rsidRPr="00865D3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PGF2A: Prostaglandin F2-alpha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PTX: Pentrexin3, SOD: </w:t>
      </w:r>
      <w:r w:rsidRPr="00865D33">
        <w:rPr>
          <w:rStyle w:val="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Superoxide dismutase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, 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lang w:bidi="fa-IR"/>
        </w:rPr>
        <w:t>AC: Total antioxidant capacity.</w:t>
      </w:r>
      <w:r w:rsidRPr="00865D33">
        <w:rPr>
          <w:rFonts w:ascii="Times New Roman" w:hAnsi="Times New Roman" w:cs="Times New Roman"/>
          <w:color w:val="000000"/>
          <w:sz w:val="20"/>
          <w:szCs w:val="20"/>
          <w:lang w:bidi="fa-IR"/>
        </w:rPr>
        <w:t xml:space="preserve"> P &lt; 0.05 was considered significant.</w:t>
      </w:r>
    </w:p>
    <w:p w:rsidR="00C12F65" w:rsidRPr="00865D33" w:rsidRDefault="00C12F65" w:rsidP="00C12F65">
      <w:pPr>
        <w:spacing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</w:rPr>
      </w:pPr>
    </w:p>
    <w:p w:rsidR="00C12F65" w:rsidRPr="00865D33" w:rsidRDefault="00C12F65" w:rsidP="00C12F65">
      <w:pPr>
        <w:spacing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</w:rPr>
      </w:pPr>
    </w:p>
    <w:p w:rsidR="00C12F65" w:rsidRPr="00865D33" w:rsidRDefault="00C12F65" w:rsidP="00C12F65">
      <w:pPr>
        <w:spacing w:line="480" w:lineRule="auto"/>
        <w:ind w:left="-1276" w:right="-604"/>
        <w:rPr>
          <w:rFonts w:ascii="Times New Roman" w:hAnsi="Times New Roman" w:cs="Times New Roman"/>
          <w:color w:val="000000"/>
          <w:sz w:val="20"/>
          <w:szCs w:val="20"/>
        </w:rPr>
      </w:pPr>
    </w:p>
    <w:p w:rsidR="00204CA6" w:rsidRDefault="00204CA6"/>
    <w:sectPr w:rsidR="0020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65"/>
    <w:rsid w:val="00204CA6"/>
    <w:rsid w:val="00C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6DC9D-E75B-4A3E-91C4-281E34E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F6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2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Damghanian</dc:creator>
  <cp:keywords/>
  <dc:description/>
  <cp:lastModifiedBy>Parisa Damghanian</cp:lastModifiedBy>
  <cp:revision>1</cp:revision>
  <dcterms:created xsi:type="dcterms:W3CDTF">2021-02-03T06:30:00Z</dcterms:created>
  <dcterms:modified xsi:type="dcterms:W3CDTF">2021-02-03T06:32:00Z</dcterms:modified>
</cp:coreProperties>
</file>