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90" w:rsidRDefault="00E15790" w:rsidP="00E157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File 4</w:t>
      </w:r>
    </w:p>
    <w:p w:rsidR="00E15790" w:rsidRDefault="00E15790" w:rsidP="00E15790">
      <w:pPr>
        <w:pStyle w:val="Caption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</w:p>
    <w:p w:rsidR="00E15790" w:rsidRPr="007B630B" w:rsidRDefault="00E15790" w:rsidP="00E15790">
      <w:pPr>
        <w:pStyle w:val="Caption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7B630B">
        <w:rPr>
          <w:rFonts w:ascii="Arial" w:hAnsi="Arial" w:cs="Arial"/>
          <w:b/>
          <w:color w:val="auto"/>
          <w:sz w:val="20"/>
          <w:szCs w:val="20"/>
        </w:rPr>
        <w:t>Sensitivity analysis</w:t>
      </w:r>
      <w:r>
        <w:rPr>
          <w:rFonts w:ascii="Arial" w:hAnsi="Arial" w:cs="Arial"/>
          <w:b/>
          <w:color w:val="auto"/>
          <w:sz w:val="20"/>
          <w:szCs w:val="20"/>
        </w:rPr>
        <w:t xml:space="preserve"> for change in mean daily steps, including only participants who reported no events affecting their PA level (e.g. illness, annual leave) in the seven days prior to data collection</w:t>
      </w:r>
    </w:p>
    <w:tbl>
      <w:tblPr>
        <w:tblStyle w:val="TableGrid12"/>
        <w:tblW w:w="10207" w:type="dxa"/>
        <w:tblInd w:w="-289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851"/>
        <w:gridCol w:w="1559"/>
        <w:gridCol w:w="992"/>
        <w:gridCol w:w="851"/>
        <w:gridCol w:w="1559"/>
        <w:gridCol w:w="992"/>
        <w:gridCol w:w="851"/>
      </w:tblGrid>
      <w:tr w:rsidR="00E15790" w:rsidRPr="002C5803" w:rsidTr="00A16E5C"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:rsidR="00E15790" w:rsidRPr="002C5803" w:rsidRDefault="00E15790" w:rsidP="00A16E5C">
            <w:pPr>
              <w:ind w:left="-109" w:firstLine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803">
              <w:rPr>
                <w:rFonts w:ascii="Arial" w:hAnsi="Arial" w:cs="Arial"/>
                <w:b/>
                <w:sz w:val="20"/>
                <w:szCs w:val="20"/>
              </w:rPr>
              <w:t>Mean change from baseline (week 0)</w:t>
            </w:r>
          </w:p>
          <w:p w:rsidR="00E15790" w:rsidRPr="002C5803" w:rsidRDefault="00E15790" w:rsidP="00A16E5C">
            <w:pPr>
              <w:ind w:left="-109" w:right="-108" w:firstLine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790" w:rsidRPr="002C5803" w:rsidTr="00A16E5C">
        <w:tc>
          <w:tcPr>
            <w:tcW w:w="34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0" w:rsidRPr="002C5803" w:rsidRDefault="00E15790" w:rsidP="00A1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803">
              <w:rPr>
                <w:rFonts w:ascii="Arial" w:hAnsi="Arial" w:cs="Arial"/>
                <w:b/>
                <w:sz w:val="20"/>
                <w:szCs w:val="20"/>
              </w:rPr>
              <w:t>Mid-intervention</w:t>
            </w:r>
          </w:p>
          <w:p w:rsidR="00E15790" w:rsidRPr="002C5803" w:rsidRDefault="00E15790" w:rsidP="00A1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803">
              <w:rPr>
                <w:rFonts w:ascii="Arial" w:hAnsi="Arial" w:cs="Arial"/>
                <w:b/>
                <w:sz w:val="20"/>
                <w:szCs w:val="20"/>
              </w:rPr>
              <w:t>(end of individual phase, week 6)</w:t>
            </w:r>
          </w:p>
          <w:p w:rsidR="00E15790" w:rsidRPr="002C5803" w:rsidRDefault="00E15790" w:rsidP="00A1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0" w:rsidRPr="002C5803" w:rsidRDefault="00E15790" w:rsidP="00A1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803">
              <w:rPr>
                <w:rFonts w:ascii="Arial" w:hAnsi="Arial" w:cs="Arial"/>
                <w:b/>
                <w:sz w:val="20"/>
                <w:szCs w:val="20"/>
              </w:rPr>
              <w:t>Post-intervention</w:t>
            </w:r>
          </w:p>
          <w:p w:rsidR="00E15790" w:rsidRPr="002C5803" w:rsidRDefault="00E15790" w:rsidP="00A1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803">
              <w:rPr>
                <w:rFonts w:ascii="Arial" w:hAnsi="Arial" w:cs="Arial"/>
                <w:b/>
                <w:sz w:val="20"/>
                <w:szCs w:val="20"/>
              </w:rPr>
              <w:t>(end of social phase, week 12)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790" w:rsidRPr="002C5803" w:rsidRDefault="00E15790" w:rsidP="00A1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803">
              <w:rPr>
                <w:rFonts w:ascii="Arial" w:hAnsi="Arial" w:cs="Arial"/>
                <w:b/>
                <w:sz w:val="20"/>
                <w:szCs w:val="20"/>
              </w:rPr>
              <w:t>Follow-up</w:t>
            </w:r>
          </w:p>
          <w:p w:rsidR="00E15790" w:rsidRPr="002C5803" w:rsidRDefault="00E15790" w:rsidP="00A1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(month 8</w:t>
            </w:r>
            <w:r w:rsidRPr="002C580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15790" w:rsidRPr="002C5803" w:rsidTr="00A16E5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5790" w:rsidRPr="002C5803" w:rsidRDefault="00E15790" w:rsidP="00A1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803">
              <w:rPr>
                <w:rFonts w:ascii="Arial" w:hAnsi="Arial" w:cs="Arial"/>
                <w:b/>
                <w:sz w:val="20"/>
                <w:szCs w:val="20"/>
              </w:rPr>
              <w:t>Mean change (SD)</w:t>
            </w:r>
          </w:p>
          <w:p w:rsidR="00E15790" w:rsidRPr="002C5803" w:rsidRDefault="00E15790" w:rsidP="00A1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803">
              <w:rPr>
                <w:rFonts w:ascii="Arial" w:hAnsi="Arial" w:cs="Arial"/>
                <w:b/>
                <w:sz w:val="20"/>
                <w:szCs w:val="20"/>
              </w:rPr>
              <w:t>n = number of observations</w:t>
            </w:r>
          </w:p>
          <w:p w:rsidR="00E15790" w:rsidRPr="002C5803" w:rsidRDefault="00E15790" w:rsidP="00A1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790" w:rsidRPr="002C5803" w:rsidRDefault="00E15790" w:rsidP="00A1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803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790" w:rsidRPr="002C5803" w:rsidRDefault="00E15790" w:rsidP="00A1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803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790" w:rsidRPr="002C5803" w:rsidRDefault="00E15790" w:rsidP="00A1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803">
              <w:rPr>
                <w:rFonts w:ascii="Arial" w:hAnsi="Arial" w:cs="Arial"/>
                <w:b/>
                <w:sz w:val="20"/>
                <w:szCs w:val="20"/>
              </w:rPr>
              <w:t>Mean change (SD)</w:t>
            </w:r>
          </w:p>
          <w:p w:rsidR="00E15790" w:rsidRPr="002C5803" w:rsidRDefault="00E15790" w:rsidP="00A1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803">
              <w:rPr>
                <w:rFonts w:ascii="Arial" w:hAnsi="Arial" w:cs="Arial"/>
                <w:b/>
                <w:sz w:val="20"/>
                <w:szCs w:val="20"/>
              </w:rPr>
              <w:t>n = number of observations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790" w:rsidRPr="002C5803" w:rsidRDefault="00E15790" w:rsidP="00A1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803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790" w:rsidRPr="002C5803" w:rsidRDefault="00E15790" w:rsidP="00A1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803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790" w:rsidRPr="002C5803" w:rsidRDefault="00E15790" w:rsidP="00A1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803">
              <w:rPr>
                <w:rFonts w:ascii="Arial" w:hAnsi="Arial" w:cs="Arial"/>
                <w:b/>
                <w:sz w:val="20"/>
                <w:szCs w:val="20"/>
              </w:rPr>
              <w:t>Mean change (SD)</w:t>
            </w:r>
          </w:p>
          <w:p w:rsidR="00E15790" w:rsidRPr="002C5803" w:rsidRDefault="00E15790" w:rsidP="00A1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803">
              <w:rPr>
                <w:rFonts w:ascii="Arial" w:hAnsi="Arial" w:cs="Arial"/>
                <w:b/>
                <w:sz w:val="20"/>
                <w:szCs w:val="20"/>
              </w:rPr>
              <w:t>n = number of observations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790" w:rsidRPr="002C5803" w:rsidRDefault="00E15790" w:rsidP="00A1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803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5790" w:rsidRPr="002C5803" w:rsidRDefault="00E15790" w:rsidP="00A1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803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</w:tr>
      <w:tr w:rsidR="00E15790" w:rsidRPr="002C5803" w:rsidTr="00A16E5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5790" w:rsidRPr="002C5803" w:rsidRDefault="00E15790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803">
              <w:rPr>
                <w:rFonts w:ascii="Arial" w:hAnsi="Arial" w:cs="Arial"/>
                <w:sz w:val="20"/>
                <w:szCs w:val="20"/>
              </w:rPr>
              <w:t>-272 (2,520)</w:t>
            </w:r>
          </w:p>
          <w:p w:rsidR="00E15790" w:rsidRPr="002C5803" w:rsidRDefault="00E15790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803">
              <w:rPr>
                <w:rFonts w:ascii="Arial" w:hAnsi="Arial" w:cs="Arial"/>
                <w:sz w:val="20"/>
                <w:szCs w:val="20"/>
              </w:rPr>
              <w:t>n = 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790" w:rsidRPr="002C5803" w:rsidRDefault="00E15790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803">
              <w:rPr>
                <w:rFonts w:ascii="Arial" w:hAnsi="Arial" w:cs="Arial"/>
                <w:sz w:val="20"/>
                <w:szCs w:val="20"/>
              </w:rPr>
              <w:t>-1,021 to +476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790" w:rsidRPr="002C5803" w:rsidRDefault="00E15790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803">
              <w:rPr>
                <w:rFonts w:ascii="Arial" w:hAnsi="Arial" w:cs="Arial"/>
                <w:sz w:val="20"/>
                <w:szCs w:val="20"/>
              </w:rPr>
              <w:t>0.467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790" w:rsidRPr="002C5803" w:rsidRDefault="00E15790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803">
              <w:rPr>
                <w:rFonts w:ascii="Arial" w:hAnsi="Arial" w:cs="Arial"/>
                <w:sz w:val="20"/>
                <w:szCs w:val="20"/>
              </w:rPr>
              <w:t>+262 (2,561)</w:t>
            </w:r>
          </w:p>
          <w:p w:rsidR="00E15790" w:rsidRPr="002C5803" w:rsidRDefault="00E15790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803">
              <w:rPr>
                <w:rFonts w:ascii="Arial" w:hAnsi="Arial" w:cs="Arial"/>
                <w:sz w:val="20"/>
                <w:szCs w:val="20"/>
              </w:rPr>
              <w:t>n = 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790" w:rsidRPr="002C5803" w:rsidRDefault="00E15790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803">
              <w:rPr>
                <w:rFonts w:ascii="Arial" w:hAnsi="Arial" w:cs="Arial"/>
                <w:sz w:val="20"/>
                <w:szCs w:val="20"/>
              </w:rPr>
              <w:t>-418 to +941</w:t>
            </w:r>
          </w:p>
          <w:p w:rsidR="00E15790" w:rsidRPr="002C5803" w:rsidRDefault="00E15790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790" w:rsidRPr="002C5803" w:rsidRDefault="00E15790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803">
              <w:rPr>
                <w:rFonts w:ascii="Arial" w:hAnsi="Arial" w:cs="Arial"/>
                <w:sz w:val="20"/>
                <w:szCs w:val="20"/>
              </w:rPr>
              <w:t>0.444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790" w:rsidRPr="002C5803" w:rsidRDefault="00E15790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803">
              <w:rPr>
                <w:rFonts w:ascii="Arial" w:hAnsi="Arial" w:cs="Arial"/>
                <w:sz w:val="20"/>
                <w:szCs w:val="20"/>
              </w:rPr>
              <w:t>-765 (3,178)</w:t>
            </w:r>
          </w:p>
          <w:p w:rsidR="00E15790" w:rsidRPr="002C5803" w:rsidRDefault="00E15790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803">
              <w:rPr>
                <w:rFonts w:ascii="Arial" w:hAnsi="Arial" w:cs="Arial"/>
                <w:sz w:val="20"/>
                <w:szCs w:val="20"/>
              </w:rPr>
              <w:t>n = 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790" w:rsidRPr="002C5803" w:rsidRDefault="00E15790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803">
              <w:rPr>
                <w:rFonts w:ascii="Arial" w:hAnsi="Arial" w:cs="Arial"/>
                <w:sz w:val="20"/>
                <w:szCs w:val="20"/>
              </w:rPr>
              <w:t>-1,755 to +225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5790" w:rsidRPr="002C5803" w:rsidRDefault="00E15790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803">
              <w:rPr>
                <w:rFonts w:ascii="Arial" w:hAnsi="Arial" w:cs="Arial"/>
                <w:sz w:val="20"/>
                <w:szCs w:val="20"/>
              </w:rPr>
              <w:t>0.126</w:t>
            </w:r>
          </w:p>
        </w:tc>
      </w:tr>
    </w:tbl>
    <w:p w:rsidR="00E15790" w:rsidRPr="002C5803" w:rsidRDefault="00E15790" w:rsidP="00E15790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C119A7">
        <w:rPr>
          <w:rFonts w:ascii="Arial" w:hAnsi="Arial" w:cs="Arial"/>
          <w:b/>
          <w:sz w:val="18"/>
          <w:szCs w:val="16"/>
        </w:rPr>
        <w:t>Note:</w:t>
      </w:r>
      <w:r w:rsidRPr="002C5803">
        <w:rPr>
          <w:rFonts w:ascii="Arial" w:hAnsi="Arial" w:cs="Arial"/>
          <w:sz w:val="18"/>
          <w:szCs w:val="16"/>
        </w:rPr>
        <w:t xml:space="preserve"> SD = Standard Deviation; 95% CI = 95% Confidence Interval.  Pairwise deletion used.</w:t>
      </w:r>
    </w:p>
    <w:p w:rsidR="00E15790" w:rsidRPr="002C5803" w:rsidRDefault="00E15790" w:rsidP="00E15790">
      <w:pPr>
        <w:spacing w:after="0" w:line="240" w:lineRule="auto"/>
        <w:rPr>
          <w:rFonts w:ascii="Arial" w:hAnsi="Arial" w:cs="Arial"/>
          <w:sz w:val="18"/>
          <w:szCs w:val="16"/>
        </w:rPr>
      </w:pPr>
      <w:proofErr w:type="gramStart"/>
      <w:r w:rsidRPr="002C5803">
        <w:rPr>
          <w:rFonts w:ascii="Arial" w:hAnsi="Arial" w:cs="Arial"/>
          <w:sz w:val="18"/>
          <w:szCs w:val="16"/>
        </w:rPr>
        <w:t>p-values</w:t>
      </w:r>
      <w:proofErr w:type="gramEnd"/>
      <w:r w:rsidRPr="002C5803">
        <w:rPr>
          <w:rFonts w:ascii="Arial" w:hAnsi="Arial" w:cs="Arial"/>
          <w:sz w:val="18"/>
          <w:szCs w:val="16"/>
        </w:rPr>
        <w:t xml:space="preserve"> where significant (i.e. &lt;0.05) are highlighted in bold</w:t>
      </w:r>
    </w:p>
    <w:p w:rsidR="00CD4BF8" w:rsidRDefault="00E15790"/>
    <w:sectPr w:rsidR="00CD4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90"/>
    <w:rsid w:val="00176C4C"/>
    <w:rsid w:val="0054689F"/>
    <w:rsid w:val="007477D6"/>
    <w:rsid w:val="00E02B49"/>
    <w:rsid w:val="00E1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E334E-A427-46B7-A7F4-3A2E2086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2">
    <w:name w:val="Table Grid12"/>
    <w:basedOn w:val="TableNormal"/>
    <w:next w:val="TableGrid"/>
    <w:uiPriority w:val="39"/>
    <w:rsid w:val="00E1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1579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1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Buckingham, Sarah</dc:creator>
  <cp:keywords/>
  <dc:description/>
  <cp:lastModifiedBy>Buckingham, Sarah</cp:lastModifiedBy>
  <cp:revision>1</cp:revision>
  <dcterms:created xsi:type="dcterms:W3CDTF">2020-04-03T14:58:00Z</dcterms:created>
  <dcterms:modified xsi:type="dcterms:W3CDTF">2020-04-03T14:58:00Z</dcterms:modified>
</cp:coreProperties>
</file>