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E1" w:rsidRDefault="009747E1" w:rsidP="009747E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1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656"/>
        <w:gridCol w:w="565"/>
        <w:gridCol w:w="601"/>
        <w:gridCol w:w="638"/>
        <w:gridCol w:w="614"/>
        <w:gridCol w:w="675"/>
        <w:gridCol w:w="656"/>
        <w:gridCol w:w="656"/>
        <w:gridCol w:w="650"/>
        <w:gridCol w:w="565"/>
        <w:gridCol w:w="589"/>
        <w:gridCol w:w="650"/>
        <w:gridCol w:w="700"/>
        <w:gridCol w:w="864"/>
      </w:tblGrid>
      <w:tr w:rsidR="009747E1" w:rsidRPr="00CB35C6" w:rsidTr="009D6183">
        <w:trPr>
          <w:trHeight w:val="300"/>
        </w:trPr>
        <w:tc>
          <w:tcPr>
            <w:tcW w:w="3360" w:type="dxa"/>
            <w:gridSpan w:val="6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 xml:space="preserve">Rainfall data for </w:t>
            </w:r>
            <w:r w:rsidRPr="00D2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Rangamati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 xml:space="preserve"> District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</w:tr>
      <w:tr w:rsidR="009747E1" w:rsidRPr="00CB35C6" w:rsidTr="009D6183">
        <w:trPr>
          <w:trHeight w:val="300"/>
        </w:trPr>
        <w:tc>
          <w:tcPr>
            <w:tcW w:w="504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Monthly &amp; Yearly Total Rainfall in mm.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Year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Jan.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Feb.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Mar.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Apr.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May.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Jun.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Jul.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Aug.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Spt.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Oct.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Nov.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Dec.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Annual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1988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3131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1989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2636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2532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3023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1728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3878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243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1611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2403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437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2877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443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2765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658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3312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3031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698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2934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569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2066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2784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1086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2474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3113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2124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2316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3076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1780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295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2395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2645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169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2361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2817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1950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1923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386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3342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2032</w:t>
            </w:r>
          </w:p>
        </w:tc>
      </w:tr>
      <w:tr w:rsidR="009747E1" w:rsidRPr="00CB35C6" w:rsidTr="009D6183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388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1189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E1" w:rsidRPr="00D24057" w:rsidRDefault="009747E1" w:rsidP="009D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D2405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3819</w:t>
            </w:r>
          </w:p>
        </w:tc>
      </w:tr>
    </w:tbl>
    <w:p w:rsidR="009747E1" w:rsidRDefault="009747E1" w:rsidP="009747E1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B35C6">
        <w:rPr>
          <w:rFonts w:ascii="Times New Roman" w:hAnsi="Times New Roman" w:cs="Times New Roman"/>
        </w:rPr>
        <w:t>Source: Bangladesh Meteorological Department, 2018</w:t>
      </w:r>
    </w:p>
    <w:p w:rsidR="009747E1" w:rsidRDefault="009747E1" w:rsidP="009747E1">
      <w:pPr>
        <w:spacing w:before="120" w:after="120" w:line="360" w:lineRule="auto"/>
        <w:jc w:val="center"/>
        <w:rPr>
          <w:rFonts w:ascii="Times New Roman" w:hAnsi="Times New Roman" w:cs="Times New Roman"/>
        </w:rPr>
      </w:pPr>
    </w:p>
    <w:p w:rsidR="009747E1" w:rsidRDefault="009747E1" w:rsidP="009747E1">
      <w:pPr>
        <w:spacing w:before="120" w:after="120" w:line="360" w:lineRule="auto"/>
        <w:jc w:val="center"/>
        <w:rPr>
          <w:rFonts w:ascii="Times New Roman" w:hAnsi="Times New Roman" w:cs="Times New Roman"/>
        </w:rPr>
      </w:pPr>
    </w:p>
    <w:p w:rsidR="009747E1" w:rsidRDefault="003069EF" w:rsidP="009747E1">
      <w:pPr>
        <w:keepNext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1D23B84" wp14:editId="550E1758">
            <wp:extent cx="5943600" cy="3134995"/>
            <wp:effectExtent l="0" t="0" r="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3069EF" w:rsidRDefault="003069EF" w:rsidP="009747E1">
      <w:pPr>
        <w:pStyle w:val="Caption"/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747E1" w:rsidRDefault="009747E1" w:rsidP="009747E1">
      <w:pPr>
        <w:pStyle w:val="Caption"/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43196">
        <w:rPr>
          <w:rFonts w:ascii="Times New Roman" w:hAnsi="Times New Roman" w:cs="Times New Roman"/>
          <w:color w:val="auto"/>
          <w:sz w:val="22"/>
          <w:szCs w:val="22"/>
        </w:rPr>
        <w:t>Figure 10</w:t>
      </w:r>
      <w:r w:rsidRPr="006F3FC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="009D618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Monthly</w:t>
      </w:r>
      <w:r w:rsidR="003069E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6F3FC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Rainfall</w:t>
      </w:r>
      <w:r w:rsidR="003069E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records </w:t>
      </w:r>
      <w:r w:rsidR="009D618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of Rangamati for years of 1988 to 2017 (Source: Bangladesh Meteorology Department)</w:t>
      </w:r>
    </w:p>
    <w:p w:rsidR="009747E1" w:rsidRDefault="009747E1" w:rsidP="009747E1"/>
    <w:p w:rsidR="009747E1" w:rsidRDefault="009747E1" w:rsidP="009747E1">
      <w:pPr>
        <w:keepNext/>
        <w:jc w:val="center"/>
      </w:pPr>
      <w:r>
        <w:rPr>
          <w:noProof/>
        </w:rPr>
        <w:drawing>
          <wp:inline distT="0" distB="0" distL="0" distR="0" wp14:anchorId="011B938A" wp14:editId="19F7C10B">
            <wp:extent cx="3106639" cy="3625850"/>
            <wp:effectExtent l="19050" t="19050" r="17561" b="12700"/>
            <wp:docPr id="3" name="Picture 2" descr="drainag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inage f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6241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47E1" w:rsidRPr="009276FB" w:rsidRDefault="009747E1" w:rsidP="009747E1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276FB">
        <w:rPr>
          <w:rFonts w:ascii="Times New Roman" w:hAnsi="Times New Roman" w:cs="Times New Roman"/>
          <w:color w:val="auto"/>
          <w:sz w:val="22"/>
          <w:szCs w:val="22"/>
        </w:rPr>
        <w:t>Figure 11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9276F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Drainage Map of Study Area</w:t>
      </w:r>
    </w:p>
    <w:p w:rsidR="009747E1" w:rsidRPr="00C80DB3" w:rsidRDefault="009747E1" w:rsidP="009747E1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747E1" w:rsidRPr="00823C6B" w:rsidRDefault="009747E1" w:rsidP="009747E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4FD" w:rsidRDefault="00AB04FD"/>
    <w:p w:rsidR="00AB04FD" w:rsidRDefault="00AB04FD"/>
    <w:p w:rsidR="00FE517A" w:rsidRDefault="009D6183">
      <w:fldSimple w:instr=" ADDIN EN.REFLIST "/>
    </w:p>
    <w:sectPr w:rsidR="00FE517A" w:rsidSect="009D61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E4" w:rsidRDefault="00D644E4">
      <w:pPr>
        <w:spacing w:after="0" w:line="240" w:lineRule="auto"/>
      </w:pPr>
      <w:r>
        <w:separator/>
      </w:r>
    </w:p>
  </w:endnote>
  <w:endnote w:type="continuationSeparator" w:id="0">
    <w:p w:rsidR="00D644E4" w:rsidRDefault="00D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263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183" w:rsidRDefault="009D6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183" w:rsidRDefault="009D6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E4" w:rsidRDefault="00D644E4">
      <w:pPr>
        <w:spacing w:after="0" w:line="240" w:lineRule="auto"/>
      </w:pPr>
      <w:r>
        <w:separator/>
      </w:r>
    </w:p>
  </w:footnote>
  <w:footnote w:type="continuationSeparator" w:id="0">
    <w:p w:rsidR="00D644E4" w:rsidRDefault="00D6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Ge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fa2x9xe2x0s05e9tpapa5r2wf5wwsszxdar&quot;&gt;My EndNote Library&lt;record-ids&gt;&lt;item&gt;33&lt;/item&gt;&lt;item&gt;35&lt;/item&gt;&lt;item&gt;37&lt;/item&gt;&lt;item&gt;39&lt;/item&gt;&lt;/record-ids&gt;&lt;/item&gt;&lt;/Libraries&gt;"/>
  </w:docVars>
  <w:rsids>
    <w:rsidRoot w:val="009747E1"/>
    <w:rsid w:val="0011164C"/>
    <w:rsid w:val="003069EF"/>
    <w:rsid w:val="00861D75"/>
    <w:rsid w:val="009747E1"/>
    <w:rsid w:val="009D6183"/>
    <w:rsid w:val="00AB04FD"/>
    <w:rsid w:val="00D644E4"/>
    <w:rsid w:val="00EC0600"/>
    <w:rsid w:val="00FA01BC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6BDD-897F-46C8-A12C-DD8C074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E1"/>
  </w:style>
  <w:style w:type="paragraph" w:styleId="Caption">
    <w:name w:val="caption"/>
    <w:basedOn w:val="Normal"/>
    <w:next w:val="Normal"/>
    <w:uiPriority w:val="35"/>
    <w:unhideWhenUsed/>
    <w:qFormat/>
    <w:rsid w:val="009747E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B04F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04F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04F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04F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B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Monthly Rainfall (mm)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67003163066155"/>
          <c:y val="0.12694835680751174"/>
          <c:w val="0.8715369473046638"/>
          <c:h val="0.67021893176863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val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Jan.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Sheet1!$C$5:$C$34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</c:v>
                </c:pt>
                <c:pt idx="8">
                  <c:v>10</c:v>
                </c:pt>
                <c:pt idx="9">
                  <c:v>1</c:v>
                </c:pt>
                <c:pt idx="10">
                  <c:v>21</c:v>
                </c:pt>
                <c:pt idx="11">
                  <c:v>0</c:v>
                </c:pt>
                <c:pt idx="12">
                  <c:v>41</c:v>
                </c:pt>
                <c:pt idx="13">
                  <c:v>0</c:v>
                </c:pt>
                <c:pt idx="14">
                  <c:v>9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47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3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Feb.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Sheet1!$D$5:$D$34</c:f>
              <c:numCache>
                <c:formatCode>General</c:formatCode>
                <c:ptCount val="30"/>
                <c:pt idx="0">
                  <c:v>15</c:v>
                </c:pt>
                <c:pt idx="1">
                  <c:v>11</c:v>
                </c:pt>
                <c:pt idx="2">
                  <c:v>22</c:v>
                </c:pt>
                <c:pt idx="3">
                  <c:v>5</c:v>
                </c:pt>
                <c:pt idx="4">
                  <c:v>93</c:v>
                </c:pt>
                <c:pt idx="5">
                  <c:v>151</c:v>
                </c:pt>
                <c:pt idx="6">
                  <c:v>6</c:v>
                </c:pt>
                <c:pt idx="7">
                  <c:v>7</c:v>
                </c:pt>
                <c:pt idx="8">
                  <c:v>17</c:v>
                </c:pt>
                <c:pt idx="9">
                  <c:v>14</c:v>
                </c:pt>
                <c:pt idx="10">
                  <c:v>79</c:v>
                </c:pt>
                <c:pt idx="11">
                  <c:v>0</c:v>
                </c:pt>
                <c:pt idx="12">
                  <c:v>1</c:v>
                </c:pt>
                <c:pt idx="13">
                  <c:v>8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58</c:v>
                </c:pt>
                <c:pt idx="20">
                  <c:v>8</c:v>
                </c:pt>
                <c:pt idx="21">
                  <c:v>0</c:v>
                </c:pt>
                <c:pt idx="22">
                  <c:v>9</c:v>
                </c:pt>
                <c:pt idx="23">
                  <c:v>1</c:v>
                </c:pt>
                <c:pt idx="24">
                  <c:v>0</c:v>
                </c:pt>
                <c:pt idx="25">
                  <c:v>2</c:v>
                </c:pt>
                <c:pt idx="26">
                  <c:v>23</c:v>
                </c:pt>
                <c:pt idx="27">
                  <c:v>0</c:v>
                </c:pt>
                <c:pt idx="28">
                  <c:v>85</c:v>
                </c:pt>
                <c:pt idx="2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Sheet1!$E$4</c:f>
              <c:strCache>
                <c:ptCount val="1"/>
                <c:pt idx="0">
                  <c:v>Mar.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Sheet1!$E$5:$E$34</c:f>
              <c:numCache>
                <c:formatCode>General</c:formatCode>
                <c:ptCount val="30"/>
                <c:pt idx="0">
                  <c:v>79</c:v>
                </c:pt>
                <c:pt idx="1">
                  <c:v>0</c:v>
                </c:pt>
                <c:pt idx="2">
                  <c:v>115</c:v>
                </c:pt>
                <c:pt idx="3">
                  <c:v>19</c:v>
                </c:pt>
                <c:pt idx="4">
                  <c:v>4</c:v>
                </c:pt>
                <c:pt idx="5">
                  <c:v>201</c:v>
                </c:pt>
                <c:pt idx="6">
                  <c:v>153</c:v>
                </c:pt>
                <c:pt idx="7">
                  <c:v>27</c:v>
                </c:pt>
                <c:pt idx="8">
                  <c:v>251</c:v>
                </c:pt>
                <c:pt idx="9">
                  <c:v>251</c:v>
                </c:pt>
                <c:pt idx="10">
                  <c:v>137</c:v>
                </c:pt>
                <c:pt idx="11">
                  <c:v>3</c:v>
                </c:pt>
                <c:pt idx="12">
                  <c:v>112</c:v>
                </c:pt>
                <c:pt idx="13">
                  <c:v>1</c:v>
                </c:pt>
                <c:pt idx="14">
                  <c:v>42</c:v>
                </c:pt>
                <c:pt idx="15">
                  <c:v>36</c:v>
                </c:pt>
                <c:pt idx="16">
                  <c:v>8</c:v>
                </c:pt>
                <c:pt idx="17">
                  <c:v>74</c:v>
                </c:pt>
                <c:pt idx="18">
                  <c:v>0</c:v>
                </c:pt>
                <c:pt idx="19">
                  <c:v>32</c:v>
                </c:pt>
                <c:pt idx="20">
                  <c:v>5</c:v>
                </c:pt>
                <c:pt idx="21">
                  <c:v>1</c:v>
                </c:pt>
                <c:pt idx="22">
                  <c:v>121</c:v>
                </c:pt>
                <c:pt idx="23">
                  <c:v>49</c:v>
                </c:pt>
                <c:pt idx="24">
                  <c:v>91</c:v>
                </c:pt>
                <c:pt idx="25">
                  <c:v>2</c:v>
                </c:pt>
                <c:pt idx="26">
                  <c:v>17</c:v>
                </c:pt>
                <c:pt idx="27">
                  <c:v>52</c:v>
                </c:pt>
                <c:pt idx="28">
                  <c:v>11</c:v>
                </c:pt>
                <c:pt idx="29">
                  <c:v>108</c:v>
                </c:pt>
              </c:numCache>
            </c:numRef>
          </c:val>
        </c:ser>
        <c:ser>
          <c:idx val="4"/>
          <c:order val="4"/>
          <c:tx>
            <c:strRef>
              <c:f>Sheet1!$F$4</c:f>
              <c:strCache>
                <c:ptCount val="1"/>
                <c:pt idx="0">
                  <c:v>Apr.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Sheet1!$F$5:$F$34</c:f>
              <c:numCache>
                <c:formatCode>General</c:formatCode>
                <c:ptCount val="30"/>
                <c:pt idx="0">
                  <c:v>166</c:v>
                </c:pt>
                <c:pt idx="1">
                  <c:v>240</c:v>
                </c:pt>
                <c:pt idx="2">
                  <c:v>336</c:v>
                </c:pt>
                <c:pt idx="3">
                  <c:v>174</c:v>
                </c:pt>
                <c:pt idx="4">
                  <c:v>31</c:v>
                </c:pt>
                <c:pt idx="5">
                  <c:v>139</c:v>
                </c:pt>
                <c:pt idx="6">
                  <c:v>207</c:v>
                </c:pt>
                <c:pt idx="7">
                  <c:v>44</c:v>
                </c:pt>
                <c:pt idx="8">
                  <c:v>87</c:v>
                </c:pt>
                <c:pt idx="9">
                  <c:v>33</c:v>
                </c:pt>
                <c:pt idx="10">
                  <c:v>157</c:v>
                </c:pt>
                <c:pt idx="11">
                  <c:v>0</c:v>
                </c:pt>
                <c:pt idx="12">
                  <c:v>210</c:v>
                </c:pt>
                <c:pt idx="13">
                  <c:v>34</c:v>
                </c:pt>
                <c:pt idx="14">
                  <c:v>66</c:v>
                </c:pt>
                <c:pt idx="15">
                  <c:v>82</c:v>
                </c:pt>
                <c:pt idx="16">
                  <c:v>170</c:v>
                </c:pt>
                <c:pt idx="17">
                  <c:v>199</c:v>
                </c:pt>
                <c:pt idx="18">
                  <c:v>36</c:v>
                </c:pt>
                <c:pt idx="19">
                  <c:v>168</c:v>
                </c:pt>
                <c:pt idx="20">
                  <c:v>0</c:v>
                </c:pt>
                <c:pt idx="21">
                  <c:v>61</c:v>
                </c:pt>
                <c:pt idx="22">
                  <c:v>112</c:v>
                </c:pt>
                <c:pt idx="23">
                  <c:v>78</c:v>
                </c:pt>
                <c:pt idx="24">
                  <c:v>284</c:v>
                </c:pt>
                <c:pt idx="25">
                  <c:v>83</c:v>
                </c:pt>
                <c:pt idx="26">
                  <c:v>1</c:v>
                </c:pt>
                <c:pt idx="27">
                  <c:v>238</c:v>
                </c:pt>
                <c:pt idx="28">
                  <c:v>29</c:v>
                </c:pt>
                <c:pt idx="29">
                  <c:v>388</c:v>
                </c:pt>
              </c:numCache>
            </c:numRef>
          </c:val>
        </c:ser>
        <c:ser>
          <c:idx val="5"/>
          <c:order val="5"/>
          <c:tx>
            <c:strRef>
              <c:f>Sheet1!$G$4</c:f>
              <c:strCache>
                <c:ptCount val="1"/>
                <c:pt idx="0">
                  <c:v>May.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Sheet1!$G$5:$G$34</c:f>
              <c:numCache>
                <c:formatCode>General</c:formatCode>
                <c:ptCount val="30"/>
                <c:pt idx="0">
                  <c:v>355</c:v>
                </c:pt>
                <c:pt idx="1">
                  <c:v>163</c:v>
                </c:pt>
                <c:pt idx="2">
                  <c:v>365</c:v>
                </c:pt>
                <c:pt idx="3">
                  <c:v>578</c:v>
                </c:pt>
                <c:pt idx="4">
                  <c:v>137</c:v>
                </c:pt>
                <c:pt idx="5">
                  <c:v>475</c:v>
                </c:pt>
                <c:pt idx="6">
                  <c:v>96</c:v>
                </c:pt>
                <c:pt idx="7">
                  <c:v>490</c:v>
                </c:pt>
                <c:pt idx="8">
                  <c:v>440</c:v>
                </c:pt>
                <c:pt idx="9">
                  <c:v>209</c:v>
                </c:pt>
                <c:pt idx="10">
                  <c:v>658</c:v>
                </c:pt>
                <c:pt idx="11">
                  <c:v>379</c:v>
                </c:pt>
                <c:pt idx="12">
                  <c:v>698</c:v>
                </c:pt>
                <c:pt idx="13">
                  <c:v>282</c:v>
                </c:pt>
                <c:pt idx="14">
                  <c:v>548</c:v>
                </c:pt>
                <c:pt idx="15">
                  <c:v>273</c:v>
                </c:pt>
                <c:pt idx="16">
                  <c:v>116</c:v>
                </c:pt>
                <c:pt idx="17">
                  <c:v>238</c:v>
                </c:pt>
                <c:pt idx="18">
                  <c:v>701</c:v>
                </c:pt>
                <c:pt idx="19">
                  <c:v>280</c:v>
                </c:pt>
                <c:pt idx="20">
                  <c:v>188</c:v>
                </c:pt>
                <c:pt idx="21">
                  <c:v>264</c:v>
                </c:pt>
                <c:pt idx="22">
                  <c:v>424</c:v>
                </c:pt>
                <c:pt idx="23">
                  <c:v>169</c:v>
                </c:pt>
                <c:pt idx="24">
                  <c:v>187</c:v>
                </c:pt>
                <c:pt idx="25">
                  <c:v>435</c:v>
                </c:pt>
                <c:pt idx="26">
                  <c:v>339</c:v>
                </c:pt>
                <c:pt idx="27">
                  <c:v>130</c:v>
                </c:pt>
                <c:pt idx="28">
                  <c:v>274</c:v>
                </c:pt>
                <c:pt idx="29">
                  <c:v>186</c:v>
                </c:pt>
              </c:numCache>
            </c:numRef>
          </c:val>
        </c:ser>
        <c:ser>
          <c:idx val="6"/>
          <c:order val="6"/>
          <c:tx>
            <c:strRef>
              <c:f>Sheet1!$H$4</c:f>
              <c:strCache>
                <c:ptCount val="1"/>
                <c:pt idx="0">
                  <c:v>Jun.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Sheet1!$H$5:$H$34</c:f>
              <c:numCache>
                <c:formatCode>General</c:formatCode>
                <c:ptCount val="30"/>
                <c:pt idx="0">
                  <c:v>760</c:v>
                </c:pt>
                <c:pt idx="1">
                  <c:v>210</c:v>
                </c:pt>
                <c:pt idx="2">
                  <c:v>388</c:v>
                </c:pt>
                <c:pt idx="3">
                  <c:v>618</c:v>
                </c:pt>
                <c:pt idx="4">
                  <c:v>428</c:v>
                </c:pt>
                <c:pt idx="5">
                  <c:v>784</c:v>
                </c:pt>
                <c:pt idx="6">
                  <c:v>243</c:v>
                </c:pt>
                <c:pt idx="7">
                  <c:v>339</c:v>
                </c:pt>
                <c:pt idx="8">
                  <c:v>455</c:v>
                </c:pt>
                <c:pt idx="9">
                  <c:v>508</c:v>
                </c:pt>
                <c:pt idx="10">
                  <c:v>294</c:v>
                </c:pt>
                <c:pt idx="11">
                  <c:v>1117</c:v>
                </c:pt>
                <c:pt idx="12">
                  <c:v>565</c:v>
                </c:pt>
                <c:pt idx="13">
                  <c:v>569</c:v>
                </c:pt>
                <c:pt idx="14">
                  <c:v>262</c:v>
                </c:pt>
                <c:pt idx="15">
                  <c:v>1086</c:v>
                </c:pt>
                <c:pt idx="16">
                  <c:v>841</c:v>
                </c:pt>
                <c:pt idx="17">
                  <c:v>185</c:v>
                </c:pt>
                <c:pt idx="18">
                  <c:v>313</c:v>
                </c:pt>
                <c:pt idx="19">
                  <c:v>591</c:v>
                </c:pt>
                <c:pt idx="20">
                  <c:v>262</c:v>
                </c:pt>
                <c:pt idx="21">
                  <c:v>295</c:v>
                </c:pt>
                <c:pt idx="22">
                  <c:v>653</c:v>
                </c:pt>
                <c:pt idx="23">
                  <c:v>516</c:v>
                </c:pt>
                <c:pt idx="24">
                  <c:v>834</c:v>
                </c:pt>
                <c:pt idx="25">
                  <c:v>280</c:v>
                </c:pt>
                <c:pt idx="26">
                  <c:v>610</c:v>
                </c:pt>
                <c:pt idx="27">
                  <c:v>562</c:v>
                </c:pt>
                <c:pt idx="28">
                  <c:v>513</c:v>
                </c:pt>
                <c:pt idx="29">
                  <c:v>1189</c:v>
                </c:pt>
              </c:numCache>
            </c:numRef>
          </c:val>
        </c:ser>
        <c:ser>
          <c:idx val="7"/>
          <c:order val="7"/>
          <c:tx>
            <c:strRef>
              <c:f>Sheet1!$I$4</c:f>
              <c:strCache>
                <c:ptCount val="1"/>
                <c:pt idx="0">
                  <c:v>Jul.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Sheet1!$I$5:$I$34</c:f>
              <c:numCache>
                <c:formatCode>General</c:formatCode>
                <c:ptCount val="30"/>
                <c:pt idx="0">
                  <c:v>679</c:v>
                </c:pt>
                <c:pt idx="1">
                  <c:v>820</c:v>
                </c:pt>
                <c:pt idx="2">
                  <c:v>659</c:v>
                </c:pt>
                <c:pt idx="3">
                  <c:v>474</c:v>
                </c:pt>
                <c:pt idx="4">
                  <c:v>341</c:v>
                </c:pt>
                <c:pt idx="5">
                  <c:v>959</c:v>
                </c:pt>
                <c:pt idx="6">
                  <c:v>316</c:v>
                </c:pt>
                <c:pt idx="7">
                  <c:v>607</c:v>
                </c:pt>
                <c:pt idx="8">
                  <c:v>479</c:v>
                </c:pt>
                <c:pt idx="9">
                  <c:v>657</c:v>
                </c:pt>
                <c:pt idx="10">
                  <c:v>1065</c:v>
                </c:pt>
                <c:pt idx="11">
                  <c:v>590</c:v>
                </c:pt>
                <c:pt idx="12">
                  <c:v>207</c:v>
                </c:pt>
                <c:pt idx="13">
                  <c:v>346</c:v>
                </c:pt>
                <c:pt idx="14">
                  <c:v>852</c:v>
                </c:pt>
                <c:pt idx="15">
                  <c:v>252</c:v>
                </c:pt>
                <c:pt idx="16">
                  <c:v>1076</c:v>
                </c:pt>
                <c:pt idx="17">
                  <c:v>274</c:v>
                </c:pt>
                <c:pt idx="18">
                  <c:v>476</c:v>
                </c:pt>
                <c:pt idx="19">
                  <c:v>712</c:v>
                </c:pt>
                <c:pt idx="20">
                  <c:v>433</c:v>
                </c:pt>
                <c:pt idx="21">
                  <c:v>639</c:v>
                </c:pt>
                <c:pt idx="22">
                  <c:v>304</c:v>
                </c:pt>
                <c:pt idx="23">
                  <c:v>463</c:v>
                </c:pt>
                <c:pt idx="24">
                  <c:v>489</c:v>
                </c:pt>
                <c:pt idx="25">
                  <c:v>274</c:v>
                </c:pt>
                <c:pt idx="26">
                  <c:v>161</c:v>
                </c:pt>
                <c:pt idx="27">
                  <c:v>1035</c:v>
                </c:pt>
                <c:pt idx="28">
                  <c:v>405</c:v>
                </c:pt>
                <c:pt idx="29">
                  <c:v>684</c:v>
                </c:pt>
              </c:numCache>
            </c:numRef>
          </c:val>
        </c:ser>
        <c:ser>
          <c:idx val="8"/>
          <c:order val="8"/>
          <c:tx>
            <c:strRef>
              <c:f>Sheet1!$J$4</c:f>
              <c:strCache>
                <c:ptCount val="1"/>
                <c:pt idx="0">
                  <c:v>Aug.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Sheet1!$J$5:$J$34</c:f>
              <c:numCache>
                <c:formatCode>General</c:formatCode>
                <c:ptCount val="30"/>
                <c:pt idx="0">
                  <c:v>567</c:v>
                </c:pt>
                <c:pt idx="1">
                  <c:v>176</c:v>
                </c:pt>
                <c:pt idx="2">
                  <c:v>176</c:v>
                </c:pt>
                <c:pt idx="3">
                  <c:v>606</c:v>
                </c:pt>
                <c:pt idx="4">
                  <c:v>239</c:v>
                </c:pt>
                <c:pt idx="5">
                  <c:v>730</c:v>
                </c:pt>
                <c:pt idx="6">
                  <c:v>266</c:v>
                </c:pt>
                <c:pt idx="7">
                  <c:v>351</c:v>
                </c:pt>
                <c:pt idx="8">
                  <c:v>437</c:v>
                </c:pt>
                <c:pt idx="9">
                  <c:v>481</c:v>
                </c:pt>
                <c:pt idx="10">
                  <c:v>493</c:v>
                </c:pt>
                <c:pt idx="11">
                  <c:v>474</c:v>
                </c:pt>
                <c:pt idx="12">
                  <c:v>534</c:v>
                </c:pt>
                <c:pt idx="13">
                  <c:v>332</c:v>
                </c:pt>
                <c:pt idx="14">
                  <c:v>472</c:v>
                </c:pt>
                <c:pt idx="15">
                  <c:v>222</c:v>
                </c:pt>
                <c:pt idx="16">
                  <c:v>229</c:v>
                </c:pt>
                <c:pt idx="17">
                  <c:v>644</c:v>
                </c:pt>
                <c:pt idx="18">
                  <c:v>370</c:v>
                </c:pt>
                <c:pt idx="19">
                  <c:v>268</c:v>
                </c:pt>
                <c:pt idx="20">
                  <c:v>400</c:v>
                </c:pt>
                <c:pt idx="21">
                  <c:v>472</c:v>
                </c:pt>
                <c:pt idx="22">
                  <c:v>496</c:v>
                </c:pt>
                <c:pt idx="23">
                  <c:v>566</c:v>
                </c:pt>
                <c:pt idx="24">
                  <c:v>297</c:v>
                </c:pt>
                <c:pt idx="25">
                  <c:v>200</c:v>
                </c:pt>
                <c:pt idx="26">
                  <c:v>294</c:v>
                </c:pt>
                <c:pt idx="27">
                  <c:v>714</c:v>
                </c:pt>
                <c:pt idx="28">
                  <c:v>239</c:v>
                </c:pt>
                <c:pt idx="29">
                  <c:v>629</c:v>
                </c:pt>
              </c:numCache>
            </c:numRef>
          </c:val>
        </c:ser>
        <c:ser>
          <c:idx val="9"/>
          <c:order val="9"/>
          <c:tx>
            <c:strRef>
              <c:f>Sheet1!$K$4</c:f>
              <c:strCache>
                <c:ptCount val="1"/>
                <c:pt idx="0">
                  <c:v>Spt.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Sheet1!$K$5:$K$34</c:f>
              <c:numCache>
                <c:formatCode>General</c:formatCode>
                <c:ptCount val="30"/>
                <c:pt idx="0">
                  <c:v>236</c:v>
                </c:pt>
                <c:pt idx="1">
                  <c:v>413</c:v>
                </c:pt>
                <c:pt idx="2">
                  <c:v>197</c:v>
                </c:pt>
                <c:pt idx="3">
                  <c:v>335</c:v>
                </c:pt>
                <c:pt idx="4">
                  <c:v>274</c:v>
                </c:pt>
                <c:pt idx="5">
                  <c:v>278</c:v>
                </c:pt>
                <c:pt idx="6">
                  <c:v>198</c:v>
                </c:pt>
                <c:pt idx="7">
                  <c:v>171</c:v>
                </c:pt>
                <c:pt idx="8">
                  <c:v>379</c:v>
                </c:pt>
                <c:pt idx="9">
                  <c:v>443</c:v>
                </c:pt>
                <c:pt idx="10">
                  <c:v>287</c:v>
                </c:pt>
                <c:pt idx="11">
                  <c:v>201</c:v>
                </c:pt>
                <c:pt idx="12">
                  <c:v>164</c:v>
                </c:pt>
                <c:pt idx="13">
                  <c:v>212</c:v>
                </c:pt>
                <c:pt idx="14">
                  <c:v>353</c:v>
                </c:pt>
                <c:pt idx="15">
                  <c:v>370</c:v>
                </c:pt>
                <c:pt idx="16">
                  <c:v>491</c:v>
                </c:pt>
                <c:pt idx="17">
                  <c:v>323</c:v>
                </c:pt>
                <c:pt idx="18">
                  <c:v>302</c:v>
                </c:pt>
                <c:pt idx="19">
                  <c:v>535</c:v>
                </c:pt>
                <c:pt idx="20">
                  <c:v>240</c:v>
                </c:pt>
                <c:pt idx="21">
                  <c:v>276</c:v>
                </c:pt>
                <c:pt idx="22">
                  <c:v>183</c:v>
                </c:pt>
                <c:pt idx="23">
                  <c:v>420</c:v>
                </c:pt>
                <c:pt idx="24">
                  <c:v>268</c:v>
                </c:pt>
                <c:pt idx="25">
                  <c:v>476</c:v>
                </c:pt>
                <c:pt idx="26">
                  <c:v>316</c:v>
                </c:pt>
                <c:pt idx="27">
                  <c:v>386</c:v>
                </c:pt>
                <c:pt idx="28">
                  <c:v>214</c:v>
                </c:pt>
                <c:pt idx="29">
                  <c:v>428</c:v>
                </c:pt>
              </c:numCache>
            </c:numRef>
          </c:val>
        </c:ser>
        <c:ser>
          <c:idx val="10"/>
          <c:order val="10"/>
          <c:tx>
            <c:strRef>
              <c:f>Sheet1!$L$4</c:f>
              <c:strCache>
                <c:ptCount val="1"/>
                <c:pt idx="0">
                  <c:v>Oct.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Sheet1!$L$5:$L$34</c:f>
              <c:numCache>
                <c:formatCode>General</c:formatCode>
                <c:ptCount val="30"/>
                <c:pt idx="0">
                  <c:v>234</c:v>
                </c:pt>
                <c:pt idx="1">
                  <c:v>563</c:v>
                </c:pt>
                <c:pt idx="2">
                  <c:v>129</c:v>
                </c:pt>
                <c:pt idx="3">
                  <c:v>103</c:v>
                </c:pt>
                <c:pt idx="4">
                  <c:v>154</c:v>
                </c:pt>
                <c:pt idx="5">
                  <c:v>152</c:v>
                </c:pt>
                <c:pt idx="6">
                  <c:v>109</c:v>
                </c:pt>
                <c:pt idx="7">
                  <c:v>146</c:v>
                </c:pt>
                <c:pt idx="8">
                  <c:v>246</c:v>
                </c:pt>
                <c:pt idx="9">
                  <c:v>134</c:v>
                </c:pt>
                <c:pt idx="10">
                  <c:v>102</c:v>
                </c:pt>
                <c:pt idx="11">
                  <c:v>149</c:v>
                </c:pt>
                <c:pt idx="12">
                  <c:v>357</c:v>
                </c:pt>
                <c:pt idx="13">
                  <c:v>181</c:v>
                </c:pt>
                <c:pt idx="14">
                  <c:v>79</c:v>
                </c:pt>
                <c:pt idx="15">
                  <c:v>93</c:v>
                </c:pt>
                <c:pt idx="16">
                  <c:v>182</c:v>
                </c:pt>
                <c:pt idx="17">
                  <c:v>125</c:v>
                </c:pt>
                <c:pt idx="18">
                  <c:v>99</c:v>
                </c:pt>
                <c:pt idx="19">
                  <c:v>351</c:v>
                </c:pt>
                <c:pt idx="20">
                  <c:v>172</c:v>
                </c:pt>
                <c:pt idx="21">
                  <c:v>338</c:v>
                </c:pt>
                <c:pt idx="22">
                  <c:v>281</c:v>
                </c:pt>
                <c:pt idx="23">
                  <c:v>98</c:v>
                </c:pt>
                <c:pt idx="24">
                  <c:v>344</c:v>
                </c:pt>
                <c:pt idx="25">
                  <c:v>198</c:v>
                </c:pt>
                <c:pt idx="26">
                  <c:v>152</c:v>
                </c:pt>
                <c:pt idx="27">
                  <c:v>213</c:v>
                </c:pt>
                <c:pt idx="28">
                  <c:v>139</c:v>
                </c:pt>
                <c:pt idx="29">
                  <c:v>159</c:v>
                </c:pt>
              </c:numCache>
            </c:numRef>
          </c:val>
        </c:ser>
        <c:ser>
          <c:idx val="11"/>
          <c:order val="11"/>
          <c:tx>
            <c:strRef>
              <c:f>Sheet1!$M$4</c:f>
              <c:strCache>
                <c:ptCount val="1"/>
                <c:pt idx="0">
                  <c:v>Nov.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Sheet1!$M$5:$M$34</c:f>
              <c:numCache>
                <c:formatCode>General</c:formatCode>
                <c:ptCount val="30"/>
                <c:pt idx="0">
                  <c:v>23</c:v>
                </c:pt>
                <c:pt idx="1">
                  <c:v>40</c:v>
                </c:pt>
                <c:pt idx="2">
                  <c:v>91</c:v>
                </c:pt>
                <c:pt idx="3">
                  <c:v>88</c:v>
                </c:pt>
                <c:pt idx="4">
                  <c:v>12</c:v>
                </c:pt>
                <c:pt idx="5">
                  <c:v>9</c:v>
                </c:pt>
                <c:pt idx="6">
                  <c:v>12</c:v>
                </c:pt>
                <c:pt idx="7">
                  <c:v>220</c:v>
                </c:pt>
                <c:pt idx="8">
                  <c:v>72</c:v>
                </c:pt>
                <c:pt idx="9">
                  <c:v>19</c:v>
                </c:pt>
                <c:pt idx="10">
                  <c:v>19</c:v>
                </c:pt>
                <c:pt idx="11">
                  <c:v>3</c:v>
                </c:pt>
                <c:pt idx="12">
                  <c:v>45</c:v>
                </c:pt>
                <c:pt idx="13">
                  <c:v>101</c:v>
                </c:pt>
                <c:pt idx="14">
                  <c:v>94</c:v>
                </c:pt>
                <c:pt idx="15">
                  <c:v>0</c:v>
                </c:pt>
                <c:pt idx="16">
                  <c:v>0</c:v>
                </c:pt>
                <c:pt idx="17">
                  <c:v>53</c:v>
                </c:pt>
                <c:pt idx="18">
                  <c:v>19</c:v>
                </c:pt>
                <c:pt idx="19">
                  <c:v>81</c:v>
                </c:pt>
                <c:pt idx="20">
                  <c:v>25</c:v>
                </c:pt>
                <c:pt idx="21">
                  <c:v>49</c:v>
                </c:pt>
                <c:pt idx="22">
                  <c:v>45</c:v>
                </c:pt>
                <c:pt idx="23">
                  <c:v>0</c:v>
                </c:pt>
                <c:pt idx="24">
                  <c:v>23</c:v>
                </c:pt>
                <c:pt idx="25">
                  <c:v>0</c:v>
                </c:pt>
                <c:pt idx="26">
                  <c:v>10</c:v>
                </c:pt>
                <c:pt idx="27">
                  <c:v>10</c:v>
                </c:pt>
                <c:pt idx="28">
                  <c:v>120</c:v>
                </c:pt>
                <c:pt idx="29">
                  <c:v>18</c:v>
                </c:pt>
              </c:numCache>
            </c:numRef>
          </c:val>
        </c:ser>
        <c:ser>
          <c:idx val="12"/>
          <c:order val="12"/>
          <c:tx>
            <c:strRef>
              <c:f>Sheet1!$N$4</c:f>
              <c:strCache>
                <c:ptCount val="1"/>
                <c:pt idx="0">
                  <c:v>Dec.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Sheet1!$B$5:$B$34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cat>
          <c:val>
            <c:numRef>
              <c:f>Sheet1!$N$5:$N$34</c:f>
              <c:numCache>
                <c:formatCode>General</c:formatCode>
                <c:ptCount val="30"/>
                <c:pt idx="0">
                  <c:v>17</c:v>
                </c:pt>
                <c:pt idx="1">
                  <c:v>0</c:v>
                </c:pt>
                <c:pt idx="2">
                  <c:v>54</c:v>
                </c:pt>
                <c:pt idx="3">
                  <c:v>14</c:v>
                </c:pt>
                <c:pt idx="4">
                  <c:v>15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15</c:v>
                </c:pt>
                <c:pt idx="10">
                  <c:v>0</c:v>
                </c:pt>
                <c:pt idx="11">
                  <c:v>115</c:v>
                </c:pt>
                <c:pt idx="12">
                  <c:v>0</c:v>
                </c:pt>
                <c:pt idx="13">
                  <c:v>0</c:v>
                </c:pt>
                <c:pt idx="14">
                  <c:v>7</c:v>
                </c:pt>
                <c:pt idx="15">
                  <c:v>59</c:v>
                </c:pt>
                <c:pt idx="16">
                  <c:v>0</c:v>
                </c:pt>
                <c:pt idx="17">
                  <c:v>7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17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</c:v>
                </c:pt>
                <c:pt idx="28">
                  <c:v>0</c:v>
                </c:pt>
                <c:pt idx="29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646816"/>
        <c:axId val="236645728"/>
      </c:barChart>
      <c:catAx>
        <c:axId val="23664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45728"/>
        <c:crosses val="autoZero"/>
        <c:auto val="1"/>
        <c:lblAlgn val="ctr"/>
        <c:lblOffset val="100"/>
        <c:noMultiLvlLbl val="0"/>
      </c:catAx>
      <c:valAx>
        <c:axId val="236645728"/>
        <c:scaling>
          <c:orientation val="minMax"/>
          <c:max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46816"/>
        <c:crosses val="autoZero"/>
        <c:crossBetween val="between"/>
        <c:majorUnit val="500"/>
      </c:valAx>
      <c:spPr>
        <a:noFill/>
        <a:ln w="1270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492425111051312"/>
          <c:y val="0.19671317141695316"/>
          <c:w val="0.77394609477678589"/>
          <c:h val="5.9588185279656945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0.00341</cdr:x>
      <cdr:y>0.34693</cdr:y>
    </cdr:from>
    <cdr:to>
      <cdr:x>0.03907</cdr:x>
      <cdr:y>0.63425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324150" y="1432012"/>
          <a:ext cx="900747" cy="21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Rainfall (mm)</a:t>
          </a:r>
        </a:p>
      </cdr:txBody>
    </cdr:sp>
  </cdr:relSizeAnchor>
  <cdr:relSizeAnchor xmlns:cdr="http://schemas.openxmlformats.org/drawingml/2006/chartDrawing">
    <cdr:from>
      <cdr:x>0.49504</cdr:x>
      <cdr:y>0.90831</cdr:y>
    </cdr:from>
    <cdr:to>
      <cdr:x>0.57973</cdr:x>
      <cdr:y>0.97873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42291" y="2847554"/>
          <a:ext cx="503363" cy="2207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Year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5AAE0A2-500B-4EAF-AFAE-206C291D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shofiqpge@gmail.com</dc:creator>
  <cp:keywords/>
  <dc:description/>
  <cp:lastModifiedBy>shofiqpge@gmail.com</cp:lastModifiedBy>
  <cp:revision>3</cp:revision>
  <dcterms:created xsi:type="dcterms:W3CDTF">2020-04-02T12:35:00Z</dcterms:created>
  <dcterms:modified xsi:type="dcterms:W3CDTF">2020-04-04T07:04:00Z</dcterms:modified>
</cp:coreProperties>
</file>