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15256D" w14:textId="77777777" w:rsidR="00053607" w:rsidRPr="001E6259" w:rsidRDefault="00002712" w:rsidP="00053607">
      <w:pPr>
        <w:spacing w:line="360" w:lineRule="auto"/>
        <w:jc w:val="center"/>
      </w:pPr>
      <w:sdt>
        <w:sdtPr>
          <w:alias w:val="Insert article title here"/>
          <w:tag w:val="Insert article title here"/>
          <w:id w:val="-131337230"/>
          <w:placeholder>
            <w:docPart w:val="BCF064F3B26C4CF4BB7B022AE7CB5EBF"/>
          </w:placeholder>
        </w:sdtPr>
        <w:sdtEndPr>
          <w:rPr>
            <w:i/>
            <w:iCs/>
          </w:rPr>
        </w:sdtEndPr>
        <w:sdtContent>
          <w:r w:rsidR="00053607" w:rsidRPr="00053607">
            <w:rPr>
              <w:b/>
              <w:bCs/>
              <w:sz w:val="32"/>
              <w:szCs w:val="32"/>
            </w:rPr>
            <w:t xml:space="preserve">Atypical DNA methylation, sRNA-size distribution, and female gametogenesis in the compact genome of </w:t>
          </w:r>
          <w:r w:rsidR="00053607" w:rsidRPr="00053607">
            <w:rPr>
              <w:b/>
              <w:bCs/>
              <w:i/>
              <w:iCs/>
              <w:sz w:val="32"/>
              <w:szCs w:val="32"/>
            </w:rPr>
            <w:t>Utricularia gibba</w:t>
          </w:r>
          <w:r w:rsidR="00053607" w:rsidRPr="001E6259">
            <w:rPr>
              <w:i/>
              <w:iCs/>
            </w:rPr>
            <w:t>.</w:t>
          </w:r>
        </w:sdtContent>
      </w:sdt>
    </w:p>
    <w:p w14:paraId="5321BACE" w14:textId="3D6653F4" w:rsidR="00274228" w:rsidRDefault="00274228" w:rsidP="00274228">
      <w:pPr>
        <w:spacing w:after="180"/>
      </w:pPr>
    </w:p>
    <w:p w14:paraId="50084A99" w14:textId="77777777" w:rsidR="00274228" w:rsidRDefault="00274228" w:rsidP="00274228">
      <w:pPr>
        <w:spacing w:after="101"/>
        <w:ind w:left="-5" w:right="1"/>
      </w:pPr>
      <w:r>
        <w:rPr>
          <w:b/>
          <w:sz w:val="28"/>
        </w:rPr>
        <w:t>Running title:</w:t>
      </w:r>
      <w:r>
        <w:t xml:space="preserve"> Methylation and noncoding RNA landscape in </w:t>
      </w:r>
      <w:r>
        <w:rPr>
          <w:i/>
        </w:rPr>
        <w:t xml:space="preserve">Utricularia </w:t>
      </w:r>
      <w:proofErr w:type="spellStart"/>
      <w:r>
        <w:rPr>
          <w:i/>
        </w:rPr>
        <w:t>gibba</w:t>
      </w:r>
      <w:proofErr w:type="spellEnd"/>
      <w:r>
        <w:t xml:space="preserve">. </w:t>
      </w:r>
    </w:p>
    <w:p w14:paraId="6922C0A6" w14:textId="77777777" w:rsidR="00274228" w:rsidRDefault="00274228" w:rsidP="00274228">
      <w:pPr>
        <w:spacing w:after="114"/>
      </w:pPr>
      <w:r>
        <w:rPr>
          <w:b/>
        </w:rPr>
        <w:t xml:space="preserve"> </w:t>
      </w:r>
    </w:p>
    <w:p w14:paraId="75457DD0" w14:textId="77777777" w:rsidR="00274228" w:rsidRPr="00D30EFC" w:rsidRDefault="00274228" w:rsidP="00274228">
      <w:pPr>
        <w:spacing w:after="107"/>
        <w:ind w:left="-5"/>
        <w:rPr>
          <w:lang w:val="es-MX"/>
        </w:rPr>
      </w:pPr>
      <w:r w:rsidRPr="00D30EFC">
        <w:rPr>
          <w:b/>
          <w:lang w:val="es-MX"/>
        </w:rPr>
        <w:t>Authors:</w:t>
      </w:r>
      <w:r w:rsidRPr="00D30EFC">
        <w:rPr>
          <w:lang w:val="es-MX"/>
        </w:rPr>
        <w:t xml:space="preserve"> </w:t>
      </w:r>
    </w:p>
    <w:p w14:paraId="3555E493" w14:textId="77777777" w:rsidR="008A7BF9" w:rsidRPr="00D30EFC" w:rsidRDefault="008A7BF9" w:rsidP="008A7BF9">
      <w:pPr>
        <w:ind w:left="-5" w:right="1"/>
        <w:rPr>
          <w:lang w:val="es-MX"/>
        </w:rPr>
      </w:pPr>
      <w:bookmarkStart w:id="0" w:name="_Hlk57643297"/>
      <w:r w:rsidRPr="00D30EFC">
        <w:rPr>
          <w:lang w:val="es-MX"/>
        </w:rPr>
        <w:t>Cervantes-Pérez Sergio Alan</w:t>
      </w:r>
      <w:r w:rsidRPr="00D30EFC">
        <w:rPr>
          <w:vertAlign w:val="superscript"/>
          <w:lang w:val="es-MX"/>
        </w:rPr>
        <w:t>a</w:t>
      </w:r>
      <w:r w:rsidRPr="00D30EFC">
        <w:rPr>
          <w:lang w:val="es-MX"/>
        </w:rPr>
        <w:t>; Yong-Villalobos Lenin</w:t>
      </w:r>
      <w:r w:rsidRPr="006F6E6C">
        <w:rPr>
          <w:vertAlign w:val="superscript"/>
          <w:lang w:val="es-MX"/>
        </w:rPr>
        <w:t>b</w:t>
      </w:r>
      <w:r>
        <w:rPr>
          <w:lang w:val="es-MX"/>
        </w:rPr>
        <w:t xml:space="preserve">, </w:t>
      </w:r>
      <w:r w:rsidRPr="00D30EFC">
        <w:rPr>
          <w:lang w:val="es-MX"/>
        </w:rPr>
        <w:t>Florez-Zapata Nathalia M. V.</w:t>
      </w:r>
      <w:r w:rsidRPr="00D30EFC">
        <w:rPr>
          <w:vertAlign w:val="superscript"/>
          <w:lang w:val="es-MX"/>
        </w:rPr>
        <w:t>a,</w:t>
      </w:r>
      <w:r>
        <w:rPr>
          <w:vertAlign w:val="superscript"/>
          <w:lang w:val="es-MX"/>
        </w:rPr>
        <w:t>1</w:t>
      </w:r>
      <w:r w:rsidRPr="00D30EFC">
        <w:rPr>
          <w:lang w:val="es-MX"/>
        </w:rPr>
        <w:t xml:space="preserve"> </w:t>
      </w:r>
    </w:p>
    <w:p w14:paraId="3B2EB5EB" w14:textId="77777777" w:rsidR="008A7BF9" w:rsidRPr="00D30EFC" w:rsidRDefault="008A7BF9" w:rsidP="008A7BF9">
      <w:pPr>
        <w:ind w:left="-5" w:right="1"/>
        <w:rPr>
          <w:lang w:val="es-MX"/>
        </w:rPr>
      </w:pPr>
      <w:r w:rsidRPr="00D30EFC">
        <w:rPr>
          <w:lang w:val="es-MX"/>
        </w:rPr>
        <w:t>Oropeza-Aburto Araceli</w:t>
      </w:r>
      <w:r w:rsidRPr="00D30EFC">
        <w:rPr>
          <w:vertAlign w:val="superscript"/>
          <w:lang w:val="es-MX"/>
        </w:rPr>
        <w:t>a</w:t>
      </w:r>
      <w:r w:rsidRPr="00D30EFC">
        <w:rPr>
          <w:lang w:val="es-MX"/>
        </w:rPr>
        <w:t>; Rico-Reséndiz Félix</w:t>
      </w:r>
      <w:r w:rsidRPr="00D30EFC">
        <w:rPr>
          <w:vertAlign w:val="superscript"/>
          <w:lang w:val="es-MX"/>
        </w:rPr>
        <w:t>a</w:t>
      </w:r>
      <w:r w:rsidRPr="00D30EFC">
        <w:rPr>
          <w:lang w:val="es-MX"/>
        </w:rPr>
        <w:t>; Amasende-Morales</w:t>
      </w:r>
      <w:r>
        <w:rPr>
          <w:lang w:val="es-MX"/>
        </w:rPr>
        <w:t xml:space="preserve"> </w:t>
      </w:r>
      <w:r w:rsidRPr="00D30EFC">
        <w:rPr>
          <w:lang w:val="es-MX"/>
        </w:rPr>
        <w:t>Itzel</w:t>
      </w:r>
      <w:r w:rsidRPr="00D30EFC">
        <w:rPr>
          <w:vertAlign w:val="superscript"/>
          <w:lang w:val="es-MX"/>
        </w:rPr>
        <w:t>a</w:t>
      </w:r>
      <w:r w:rsidRPr="00D30EFC">
        <w:rPr>
          <w:lang w:val="es-MX"/>
        </w:rPr>
        <w:t>; Lan Tianying</w:t>
      </w:r>
      <w:r>
        <w:rPr>
          <w:vertAlign w:val="superscript"/>
          <w:lang w:val="es-MX"/>
        </w:rPr>
        <w:t>c</w:t>
      </w:r>
      <w:r w:rsidRPr="00D30EFC">
        <w:rPr>
          <w:lang w:val="es-MX"/>
        </w:rPr>
        <w:t xml:space="preserve">; </w:t>
      </w:r>
    </w:p>
    <w:p w14:paraId="0A05BC09" w14:textId="74FAA802" w:rsidR="008A7BF9" w:rsidRPr="00D30EFC" w:rsidRDefault="008A7BF9" w:rsidP="008A7BF9">
      <w:pPr>
        <w:spacing w:after="23"/>
        <w:ind w:left="-5" w:right="1"/>
        <w:rPr>
          <w:lang w:val="es-MX"/>
        </w:rPr>
      </w:pPr>
      <w:r w:rsidRPr="00D30EFC">
        <w:rPr>
          <w:lang w:val="es-MX"/>
        </w:rPr>
        <w:t>Martínez Octavio</w:t>
      </w:r>
      <w:r w:rsidRPr="00D30EFC">
        <w:rPr>
          <w:vertAlign w:val="superscript"/>
          <w:lang w:val="es-MX"/>
        </w:rPr>
        <w:t>a</w:t>
      </w:r>
      <w:r w:rsidRPr="00D30EFC">
        <w:rPr>
          <w:lang w:val="es-MX"/>
        </w:rPr>
        <w:t>; Vielle-Calzada Jean</w:t>
      </w:r>
      <w:r>
        <w:rPr>
          <w:lang w:val="es-MX"/>
        </w:rPr>
        <w:t>-</w:t>
      </w:r>
      <w:r w:rsidRPr="00D30EFC">
        <w:rPr>
          <w:lang w:val="es-MX"/>
        </w:rPr>
        <w:t>Philippe</w:t>
      </w:r>
      <w:r w:rsidRPr="00D30EFC">
        <w:rPr>
          <w:vertAlign w:val="superscript"/>
          <w:lang w:val="es-MX"/>
        </w:rPr>
        <w:t>a</w:t>
      </w:r>
      <w:r w:rsidRPr="00D30EFC">
        <w:rPr>
          <w:lang w:val="es-MX"/>
        </w:rPr>
        <w:t>; Albert Victor A.</w:t>
      </w:r>
      <w:r w:rsidRPr="00D30EFC">
        <w:rPr>
          <w:vertAlign w:val="superscript"/>
          <w:lang w:val="es-MX"/>
        </w:rPr>
        <w:t>c</w:t>
      </w:r>
      <w:r>
        <w:rPr>
          <w:vertAlign w:val="superscript"/>
          <w:lang w:val="es-MX"/>
        </w:rPr>
        <w:t>,d</w:t>
      </w:r>
      <w:r w:rsidRPr="00D30EFC">
        <w:rPr>
          <w:lang w:val="es-MX"/>
        </w:rPr>
        <w:t xml:space="preserve"> and Herrera-Estrella Luis</w:t>
      </w:r>
      <w:r w:rsidRPr="00D30EFC">
        <w:rPr>
          <w:vertAlign w:val="superscript"/>
          <w:lang w:val="es-MX"/>
        </w:rPr>
        <w:t>a</w:t>
      </w:r>
      <w:r>
        <w:rPr>
          <w:vertAlign w:val="superscript"/>
          <w:lang w:val="es-MX"/>
        </w:rPr>
        <w:t>,b,</w:t>
      </w:r>
      <w:r>
        <w:rPr>
          <w:vertAlign w:val="superscript"/>
          <w:lang w:val="es-MX"/>
        </w:rPr>
        <w:t>2</w:t>
      </w:r>
    </w:p>
    <w:bookmarkEnd w:id="0"/>
    <w:p w14:paraId="190B5992" w14:textId="77777777" w:rsidR="008A7BF9" w:rsidRPr="00D30EFC" w:rsidRDefault="008A7BF9" w:rsidP="008A7BF9">
      <w:pPr>
        <w:spacing w:after="308"/>
        <w:rPr>
          <w:lang w:val="es-MX"/>
        </w:rPr>
      </w:pPr>
      <w:r w:rsidRPr="00D30EFC">
        <w:rPr>
          <w:sz w:val="16"/>
          <w:lang w:val="es-MX"/>
        </w:rPr>
        <w:t xml:space="preserve"> </w:t>
      </w:r>
    </w:p>
    <w:p w14:paraId="637807A2" w14:textId="77777777" w:rsidR="008A7BF9" w:rsidRPr="00D30EFC" w:rsidRDefault="008A7BF9" w:rsidP="008A7BF9">
      <w:pPr>
        <w:spacing w:after="28"/>
        <w:ind w:left="-5" w:right="1"/>
        <w:rPr>
          <w:lang w:val="es-MX"/>
        </w:rPr>
      </w:pPr>
      <w:r w:rsidRPr="00D30EFC">
        <w:rPr>
          <w:vertAlign w:val="superscript"/>
          <w:lang w:val="es-MX"/>
        </w:rPr>
        <w:t>a</w:t>
      </w:r>
      <w:r w:rsidRPr="00D30EFC">
        <w:rPr>
          <w:lang w:val="es-MX"/>
        </w:rPr>
        <w:t xml:space="preserve">Laboratorio Nacional de Genómica para la Biodiversidad, Centro de Investigación y de Estudios Avanzados del Instituto Politécnico Nacional, 36824, Irapuato, Guanajuato, México; </w:t>
      </w:r>
      <w:r>
        <w:rPr>
          <w:vertAlign w:val="superscript"/>
          <w:lang w:val="es-MX"/>
        </w:rPr>
        <w:t>b</w:t>
      </w:r>
      <w:r w:rsidRPr="00D30EFC">
        <w:rPr>
          <w:lang w:val="es-MX"/>
        </w:rPr>
        <w:t xml:space="preserve">Institute of Genomics for Crop Abiotic Stress Tolerance, Plant and Soil Department, Texas Tech University. </w:t>
      </w:r>
      <w:r>
        <w:rPr>
          <w:vertAlign w:val="superscript"/>
          <w:lang w:val="es-MX"/>
        </w:rPr>
        <w:t>c</w:t>
      </w:r>
      <w:r w:rsidRPr="00D30EFC">
        <w:rPr>
          <w:lang w:val="es-MX"/>
        </w:rPr>
        <w:t xml:space="preserve">Department of Biological Sciences, University at Buffalo, 14260, Buffalo, New York, USA; </w:t>
      </w:r>
      <w:r>
        <w:rPr>
          <w:vertAlign w:val="superscript"/>
          <w:lang w:val="es-MX"/>
        </w:rPr>
        <w:t>d</w:t>
      </w:r>
      <w:r w:rsidRPr="00D30EFC">
        <w:rPr>
          <w:lang w:val="es-MX"/>
        </w:rPr>
        <w:t xml:space="preserve">School of Biological Sciences, Nanyang Technological University, Singapore 637551; </w:t>
      </w:r>
    </w:p>
    <w:p w14:paraId="0EC9CAA4" w14:textId="4B95DCB1" w:rsidR="008A7BF9" w:rsidRDefault="008A7BF9" w:rsidP="008A7BF9">
      <w:pPr>
        <w:spacing w:after="30"/>
        <w:ind w:left="-5" w:right="1"/>
        <w:rPr>
          <w:lang w:val="es-MX"/>
        </w:rPr>
      </w:pPr>
      <w:r>
        <w:rPr>
          <w:vertAlign w:val="superscript"/>
          <w:lang w:val="es-MX"/>
        </w:rPr>
        <w:t>1</w:t>
      </w:r>
      <w:r w:rsidRPr="00D30EFC">
        <w:rPr>
          <w:lang w:val="es-MX"/>
        </w:rPr>
        <w:t xml:space="preserve">Current address: Universidad EIA, Km 2 + 200 vía al aeropuerto José María Córdova Alto de Las Palmas, Envigado, Antioquia (Colombia). </w:t>
      </w:r>
    </w:p>
    <w:p w14:paraId="4F4041F3" w14:textId="77777777" w:rsidR="008A7BF9" w:rsidRPr="00D30EFC" w:rsidRDefault="008A7BF9" w:rsidP="008A7BF9">
      <w:pPr>
        <w:spacing w:after="30"/>
        <w:ind w:left="-5" w:right="1"/>
        <w:rPr>
          <w:lang w:val="es-MX"/>
        </w:rPr>
      </w:pPr>
    </w:p>
    <w:p w14:paraId="6E6FA18F" w14:textId="238569DA" w:rsidR="008A7BF9" w:rsidRDefault="008A7BF9" w:rsidP="008A7BF9">
      <w:pPr>
        <w:ind w:left="-5" w:right="1"/>
      </w:pPr>
      <w:r w:rsidRPr="008A7BF9">
        <w:rPr>
          <w:vertAlign w:val="superscript"/>
          <w:lang w:val="en-US"/>
        </w:rPr>
        <w:t>2</w:t>
      </w:r>
      <w:r>
        <w:t xml:space="preserve">Corresponding author: </w:t>
      </w:r>
      <w:proofErr w:type="spellStart"/>
      <w:r>
        <w:t>lherrerae@cinvestav</w:t>
      </w:r>
      <w:proofErr w:type="spellEnd"/>
      <w:r>
        <w:t xml:space="preserve"> .mx; </w:t>
      </w:r>
      <w:hyperlink r:id="rId4" w:history="1">
        <w:r w:rsidRPr="000F0879">
          <w:rPr>
            <w:rStyle w:val="Hyperlink"/>
          </w:rPr>
          <w:t>luis.herrera-estrella@ttu.edu</w:t>
        </w:r>
      </w:hyperlink>
    </w:p>
    <w:p w14:paraId="2F860BAB" w14:textId="77777777" w:rsidR="00053607" w:rsidRDefault="00053607" w:rsidP="00053607">
      <w:pPr>
        <w:widowControl w:val="0"/>
        <w:spacing w:line="360" w:lineRule="auto"/>
        <w:jc w:val="both"/>
      </w:pPr>
    </w:p>
    <w:p w14:paraId="19AF84AB" w14:textId="77777777" w:rsidR="00274228" w:rsidRPr="00053607" w:rsidRDefault="00274228" w:rsidP="00274228">
      <w:pPr>
        <w:widowControl w:val="0"/>
        <w:spacing w:line="360" w:lineRule="auto"/>
        <w:jc w:val="center"/>
        <w:rPr>
          <w:b/>
          <w:bCs/>
          <w:sz w:val="32"/>
          <w:szCs w:val="32"/>
        </w:rPr>
      </w:pPr>
      <w:r>
        <w:rPr>
          <w:b/>
          <w:bCs/>
          <w:sz w:val="32"/>
          <w:szCs w:val="32"/>
        </w:rPr>
        <w:t>Supplementary Information and figures</w:t>
      </w:r>
    </w:p>
    <w:p w14:paraId="5FC0C86C" w14:textId="77777777" w:rsidR="00053607" w:rsidRDefault="00053607" w:rsidP="00053607">
      <w:pPr>
        <w:widowControl w:val="0"/>
        <w:spacing w:line="360" w:lineRule="auto"/>
        <w:jc w:val="both"/>
      </w:pPr>
    </w:p>
    <w:p w14:paraId="0D6E8AE1" w14:textId="7F9A5BCD" w:rsidR="00053607" w:rsidRPr="001E6259" w:rsidRDefault="00053607" w:rsidP="00053607">
      <w:pPr>
        <w:widowControl w:val="0"/>
        <w:spacing w:line="360" w:lineRule="auto"/>
        <w:jc w:val="both"/>
      </w:pPr>
      <w:r w:rsidRPr="001E6259">
        <w:t xml:space="preserve">The following </w:t>
      </w:r>
      <w:r>
        <w:t>Additional file 2</w:t>
      </w:r>
      <w:r w:rsidRPr="001E6259">
        <w:t xml:space="preserve"> is available for this article:</w:t>
      </w:r>
    </w:p>
    <w:p w14:paraId="64D2A2A4" w14:textId="77777777" w:rsidR="00053607" w:rsidRPr="001E6259" w:rsidRDefault="00053607" w:rsidP="00053607">
      <w:pPr>
        <w:widowControl w:val="0"/>
        <w:spacing w:line="360" w:lineRule="auto"/>
        <w:jc w:val="both"/>
      </w:pPr>
      <w:r w:rsidRPr="001E6259">
        <w:rPr>
          <w:b/>
          <w:bCs/>
        </w:rPr>
        <w:t>Fig. S1</w:t>
      </w:r>
      <w:r w:rsidRPr="001E6259">
        <w:t xml:space="preserve"> </w:t>
      </w:r>
      <w:sdt>
        <w:sdtPr>
          <w:alias w:val="Insert short legend here"/>
          <w:tag w:val="Insert short legend here"/>
          <w:id w:val="-141425991"/>
          <w:placeholder>
            <w:docPart w:val="4B1BF94283554962BC8AD49EE62BAD96"/>
          </w:placeholder>
        </w:sdtPr>
        <w:sdtEndPr/>
        <w:sdtContent>
          <w:r w:rsidRPr="001E6259">
            <w:rPr>
              <w:rFonts w:eastAsia="Times New Roman"/>
              <w:color w:val="000000"/>
            </w:rPr>
            <w:t>Workflow of lncRNAs identification.</w:t>
          </w:r>
        </w:sdtContent>
      </w:sdt>
    </w:p>
    <w:p w14:paraId="7FB663A9" w14:textId="77777777" w:rsidR="00053607" w:rsidRPr="001E6259" w:rsidRDefault="00053607" w:rsidP="00053607">
      <w:pPr>
        <w:widowControl w:val="0"/>
        <w:spacing w:line="360" w:lineRule="auto"/>
        <w:jc w:val="both"/>
        <w:rPr>
          <w:rFonts w:eastAsia="Times New Roman"/>
          <w:b/>
          <w:bCs/>
          <w:color w:val="000000"/>
        </w:rPr>
      </w:pPr>
      <w:r w:rsidRPr="001E6259">
        <w:rPr>
          <w:b/>
          <w:bCs/>
        </w:rPr>
        <w:t xml:space="preserve">Fig. S2 </w:t>
      </w:r>
      <w:r w:rsidRPr="001E6259">
        <w:rPr>
          <w:rFonts w:eastAsia="Times New Roman"/>
          <w:color w:val="000000"/>
        </w:rPr>
        <w:t>Experimental validation of Pac-Bio methylome data.</w:t>
      </w:r>
    </w:p>
    <w:p w14:paraId="131A54CA" w14:textId="77777777" w:rsidR="00053607" w:rsidRPr="001E6259" w:rsidRDefault="00053607" w:rsidP="00053607">
      <w:pPr>
        <w:widowControl w:val="0"/>
        <w:spacing w:line="360" w:lineRule="auto"/>
        <w:jc w:val="both"/>
        <w:rPr>
          <w:rFonts w:eastAsia="Times New Roman"/>
          <w:color w:val="000000"/>
        </w:rPr>
      </w:pPr>
      <w:r w:rsidRPr="001E6259">
        <w:rPr>
          <w:rFonts w:eastAsia="Times New Roman"/>
          <w:b/>
          <w:bCs/>
          <w:color w:val="000000"/>
        </w:rPr>
        <w:t xml:space="preserve">Fig. S3 </w:t>
      </w:r>
      <w:r w:rsidRPr="001E6259">
        <w:rPr>
          <w:rFonts w:eastAsia="Times New Roman"/>
          <w:color w:val="000000"/>
        </w:rPr>
        <w:t>Intergenic lncRNAs identification in some plants.</w:t>
      </w:r>
    </w:p>
    <w:p w14:paraId="74338FBD" w14:textId="77777777" w:rsidR="00053607" w:rsidRPr="001E6259" w:rsidRDefault="00053607" w:rsidP="00053607">
      <w:pPr>
        <w:widowControl w:val="0"/>
        <w:spacing w:line="360" w:lineRule="auto"/>
        <w:jc w:val="both"/>
        <w:rPr>
          <w:rFonts w:eastAsia="Times New Roman"/>
          <w:color w:val="000000"/>
        </w:rPr>
      </w:pPr>
      <w:r w:rsidRPr="001E6259">
        <w:rPr>
          <w:rFonts w:eastAsia="Times New Roman"/>
          <w:b/>
          <w:bCs/>
          <w:color w:val="000000"/>
        </w:rPr>
        <w:t xml:space="preserve">Fig. S4 </w:t>
      </w:r>
      <w:r w:rsidRPr="001E6259">
        <w:rPr>
          <w:rFonts w:eastAsia="Times New Roman"/>
          <w:color w:val="000000"/>
        </w:rPr>
        <w:t>Small RNAs size distribution in the three libraries of sRNA-Seq.</w:t>
      </w:r>
    </w:p>
    <w:p w14:paraId="791E3500" w14:textId="77777777" w:rsidR="00053607" w:rsidRPr="001E6259" w:rsidRDefault="00053607" w:rsidP="00053607">
      <w:pPr>
        <w:widowControl w:val="0"/>
        <w:spacing w:line="360" w:lineRule="auto"/>
        <w:jc w:val="both"/>
        <w:rPr>
          <w:rFonts w:eastAsia="Times New Roman"/>
          <w:color w:val="000000"/>
        </w:rPr>
      </w:pPr>
      <w:r w:rsidRPr="001E6259">
        <w:rPr>
          <w:rFonts w:eastAsia="Times New Roman"/>
          <w:b/>
          <w:bCs/>
          <w:color w:val="000000"/>
          <w:shd w:val="clear" w:color="auto" w:fill="FFFFFF"/>
        </w:rPr>
        <w:t>Fig. S5</w:t>
      </w:r>
      <w:r w:rsidRPr="001E6259">
        <w:rPr>
          <w:rFonts w:eastAsia="Times New Roman"/>
          <w:color w:val="000000"/>
          <w:shd w:val="clear" w:color="auto" w:fill="FFFFFF"/>
        </w:rPr>
        <w:t xml:space="preserve"> </w:t>
      </w:r>
      <w:r w:rsidRPr="001E6259">
        <w:rPr>
          <w:rFonts w:eastAsia="Times New Roman"/>
          <w:color w:val="000000"/>
        </w:rPr>
        <w:t>Known and novel miRNAs loci in comparison with miRBase.</w:t>
      </w:r>
    </w:p>
    <w:p w14:paraId="16E43E35" w14:textId="77777777" w:rsidR="00053607" w:rsidRPr="001E6259" w:rsidRDefault="00053607" w:rsidP="00053607">
      <w:pPr>
        <w:widowControl w:val="0"/>
        <w:spacing w:line="360" w:lineRule="auto"/>
        <w:jc w:val="both"/>
      </w:pPr>
      <w:r w:rsidRPr="001E6259">
        <w:rPr>
          <w:rFonts w:eastAsia="Times New Roman"/>
          <w:b/>
          <w:bCs/>
          <w:color w:val="000000"/>
        </w:rPr>
        <w:t xml:space="preserve">Fig. S6 </w:t>
      </w:r>
      <w:r w:rsidRPr="001E6259">
        <w:rPr>
          <w:rFonts w:eastAsia="Times New Roman"/>
          <w:color w:val="000000"/>
        </w:rPr>
        <w:t>Proportion of sRNA reads found for each miRNA family in the three sequenced libraries.</w:t>
      </w:r>
    </w:p>
    <w:p w14:paraId="4D333ECF" w14:textId="77777777" w:rsidR="00053607" w:rsidRPr="001E6259" w:rsidRDefault="00053607" w:rsidP="00053607">
      <w:pPr>
        <w:widowControl w:val="0"/>
        <w:spacing w:line="360" w:lineRule="auto"/>
        <w:jc w:val="both"/>
      </w:pPr>
      <w:r w:rsidRPr="001E6259">
        <w:rPr>
          <w:rFonts w:eastAsia="Times New Roman"/>
          <w:b/>
          <w:bCs/>
          <w:color w:val="000000"/>
        </w:rPr>
        <w:t>Fig. S7</w:t>
      </w:r>
      <w:r w:rsidRPr="001E6259">
        <w:rPr>
          <w:rFonts w:eastAsia="Times New Roman"/>
          <w:color w:val="000000"/>
        </w:rPr>
        <w:t xml:space="preserve"> Annotation of sRNAs loci.</w:t>
      </w:r>
    </w:p>
    <w:p w14:paraId="41FD76F2" w14:textId="77777777" w:rsidR="00053607" w:rsidRPr="001E6259" w:rsidRDefault="00053607" w:rsidP="00053607">
      <w:pPr>
        <w:widowControl w:val="0"/>
        <w:spacing w:line="360" w:lineRule="auto"/>
        <w:jc w:val="both"/>
        <w:rPr>
          <w:rFonts w:eastAsia="Times New Roman"/>
          <w:color w:val="000000"/>
        </w:rPr>
      </w:pPr>
      <w:r w:rsidRPr="001E6259">
        <w:rPr>
          <w:b/>
          <w:bCs/>
        </w:rPr>
        <w:t xml:space="preserve">Fig. S8 </w:t>
      </w:r>
      <w:r w:rsidRPr="001E6259">
        <w:rPr>
          <w:rFonts w:eastAsia="Times New Roman"/>
          <w:color w:val="000000"/>
        </w:rPr>
        <w:t>Distribution of Polymerase (IV and V) holoenzymes in plants.</w:t>
      </w:r>
    </w:p>
    <w:p w14:paraId="33C90366" w14:textId="77777777" w:rsidR="00053607" w:rsidRPr="001E6259" w:rsidRDefault="00053607" w:rsidP="00053607">
      <w:pPr>
        <w:widowControl w:val="0"/>
        <w:spacing w:line="360" w:lineRule="auto"/>
        <w:jc w:val="both"/>
        <w:rPr>
          <w:rFonts w:eastAsia="Times New Roman"/>
          <w:color w:val="000000"/>
        </w:rPr>
      </w:pPr>
      <w:r w:rsidRPr="001E6259">
        <w:rPr>
          <w:rFonts w:eastAsia="Times New Roman"/>
          <w:b/>
          <w:bCs/>
          <w:color w:val="000000"/>
        </w:rPr>
        <w:t xml:space="preserve">Fig. S9 </w:t>
      </w:r>
      <w:r w:rsidRPr="001E6259">
        <w:rPr>
          <w:rFonts w:eastAsia="Times New Roman"/>
          <w:bCs/>
        </w:rPr>
        <w:t>NRPD4 phylogenetic tree.</w:t>
      </w:r>
    </w:p>
    <w:p w14:paraId="41941F98" w14:textId="77777777" w:rsidR="00053607" w:rsidRPr="001E6259" w:rsidRDefault="00053607" w:rsidP="00053607">
      <w:pPr>
        <w:widowControl w:val="0"/>
        <w:spacing w:line="360" w:lineRule="auto"/>
        <w:jc w:val="both"/>
        <w:rPr>
          <w:rFonts w:eastAsia="Times New Roman"/>
          <w:bCs/>
        </w:rPr>
      </w:pPr>
      <w:r w:rsidRPr="001E6259">
        <w:rPr>
          <w:rFonts w:eastAsia="Times New Roman"/>
          <w:b/>
          <w:bCs/>
          <w:color w:val="000000"/>
        </w:rPr>
        <w:t xml:space="preserve">Fig. S10 </w:t>
      </w:r>
      <w:r w:rsidRPr="001E6259">
        <w:rPr>
          <w:rFonts w:eastAsia="Times New Roman"/>
          <w:color w:val="000000"/>
        </w:rPr>
        <w:t>AGO5 clade homolog identification.</w:t>
      </w:r>
    </w:p>
    <w:p w14:paraId="6A8CE541" w14:textId="77777777" w:rsidR="00053607" w:rsidRPr="001E6259" w:rsidRDefault="00053607" w:rsidP="00053607">
      <w:pPr>
        <w:widowControl w:val="0"/>
        <w:spacing w:line="360" w:lineRule="auto"/>
        <w:jc w:val="both"/>
        <w:rPr>
          <w:rFonts w:eastAsia="Times New Roman"/>
          <w:color w:val="000000"/>
        </w:rPr>
      </w:pPr>
      <w:r w:rsidRPr="001E6259">
        <w:rPr>
          <w:rFonts w:eastAsia="Times New Roman"/>
          <w:b/>
        </w:rPr>
        <w:lastRenderedPageBreak/>
        <w:t xml:space="preserve">Fig. S11 </w:t>
      </w:r>
      <w:r w:rsidRPr="001E6259">
        <w:rPr>
          <w:rFonts w:eastAsia="Times New Roman"/>
          <w:color w:val="000000"/>
        </w:rPr>
        <w:t xml:space="preserve">AGO2/3/7 clade in the </w:t>
      </w:r>
      <w:r w:rsidRPr="001E6259">
        <w:rPr>
          <w:rFonts w:eastAsia="Times New Roman"/>
          <w:i/>
          <w:color w:val="000000"/>
        </w:rPr>
        <w:t>U. gibba</w:t>
      </w:r>
      <w:r w:rsidRPr="001E6259">
        <w:rPr>
          <w:rFonts w:eastAsia="Times New Roman"/>
          <w:color w:val="000000"/>
        </w:rPr>
        <w:t xml:space="preserve"> phylome.</w:t>
      </w:r>
    </w:p>
    <w:p w14:paraId="3A43E30D" w14:textId="77777777" w:rsidR="00053607" w:rsidRPr="001E6259" w:rsidRDefault="00053607" w:rsidP="00053607">
      <w:pPr>
        <w:widowControl w:val="0"/>
        <w:spacing w:line="360" w:lineRule="auto"/>
        <w:jc w:val="both"/>
        <w:rPr>
          <w:rFonts w:eastAsia="Times New Roman"/>
          <w:b/>
          <w:bCs/>
          <w:color w:val="000000"/>
        </w:rPr>
      </w:pPr>
      <w:r w:rsidRPr="001E6259">
        <w:rPr>
          <w:rFonts w:eastAsia="Times New Roman"/>
          <w:b/>
          <w:bCs/>
          <w:color w:val="000000"/>
        </w:rPr>
        <w:t xml:space="preserve">Fig. S12 </w:t>
      </w:r>
      <w:r w:rsidRPr="001E6259">
        <w:rPr>
          <w:rFonts w:eastAsia="Times New Roman"/>
          <w:color w:val="000000"/>
        </w:rPr>
        <w:t xml:space="preserve">AGO6/4/8/9 clade in the </w:t>
      </w:r>
      <w:r w:rsidRPr="001E6259">
        <w:rPr>
          <w:rFonts w:eastAsia="Times New Roman"/>
          <w:i/>
          <w:color w:val="000000"/>
        </w:rPr>
        <w:t>U. gibba</w:t>
      </w:r>
      <w:r w:rsidRPr="001E6259">
        <w:rPr>
          <w:rFonts w:eastAsia="Times New Roman"/>
          <w:color w:val="000000"/>
        </w:rPr>
        <w:t xml:space="preserve"> phylome.</w:t>
      </w:r>
    </w:p>
    <w:p w14:paraId="596A4DE7" w14:textId="77777777" w:rsidR="00053607" w:rsidRPr="001E6259" w:rsidRDefault="00053607" w:rsidP="00053607">
      <w:pPr>
        <w:widowControl w:val="0"/>
        <w:spacing w:line="360" w:lineRule="auto"/>
        <w:jc w:val="both"/>
        <w:rPr>
          <w:rFonts w:eastAsia="Times New Roman"/>
          <w:b/>
          <w:bCs/>
          <w:color w:val="000000"/>
        </w:rPr>
      </w:pPr>
      <w:r w:rsidRPr="001E6259">
        <w:rPr>
          <w:rFonts w:eastAsia="Times New Roman"/>
          <w:b/>
          <w:bCs/>
          <w:color w:val="000000"/>
        </w:rPr>
        <w:t xml:space="preserve">Fig. S13 </w:t>
      </w:r>
      <w:r w:rsidRPr="001E6259">
        <w:rPr>
          <w:rFonts w:eastAsia="Times New Roman"/>
          <w:color w:val="000000"/>
        </w:rPr>
        <w:t xml:space="preserve">AGO1/10 clade in </w:t>
      </w:r>
      <w:r w:rsidRPr="001E6259">
        <w:rPr>
          <w:rFonts w:eastAsia="Times New Roman"/>
          <w:i/>
          <w:color w:val="000000"/>
        </w:rPr>
        <w:t xml:space="preserve">U. gibba </w:t>
      </w:r>
      <w:r w:rsidRPr="001E6259">
        <w:rPr>
          <w:rFonts w:eastAsia="Times New Roman"/>
          <w:color w:val="000000"/>
        </w:rPr>
        <w:t>phylome.</w:t>
      </w:r>
    </w:p>
    <w:p w14:paraId="5E3B6B23" w14:textId="77777777" w:rsidR="00053607" w:rsidRPr="001E6259" w:rsidRDefault="00053607" w:rsidP="00053607">
      <w:pPr>
        <w:widowControl w:val="0"/>
        <w:spacing w:line="360" w:lineRule="auto"/>
        <w:jc w:val="both"/>
        <w:rPr>
          <w:rFonts w:eastAsia="Times New Roman"/>
          <w:b/>
          <w:bCs/>
          <w:color w:val="000000"/>
        </w:rPr>
      </w:pPr>
      <w:r w:rsidRPr="001E6259">
        <w:rPr>
          <w:rFonts w:eastAsia="Times New Roman"/>
          <w:b/>
          <w:bCs/>
          <w:color w:val="000000"/>
        </w:rPr>
        <w:t xml:space="preserve">Fig. S14 </w:t>
      </w:r>
      <w:r w:rsidRPr="001E6259">
        <w:rPr>
          <w:rFonts w:eastAsia="Times New Roman"/>
          <w:color w:val="000000"/>
        </w:rPr>
        <w:t xml:space="preserve">Phylogenetic tree of AGO family in </w:t>
      </w:r>
      <w:proofErr w:type="spellStart"/>
      <w:r w:rsidRPr="00B07FE4">
        <w:rPr>
          <w:rFonts w:eastAsia="Times New Roman"/>
          <w:i/>
          <w:iCs/>
          <w:color w:val="000000"/>
        </w:rPr>
        <w:t>Viridiplantae</w:t>
      </w:r>
      <w:proofErr w:type="spellEnd"/>
      <w:r w:rsidRPr="001E6259">
        <w:rPr>
          <w:rFonts w:eastAsia="Times New Roman"/>
          <w:color w:val="000000"/>
        </w:rPr>
        <w:t>.</w:t>
      </w:r>
    </w:p>
    <w:p w14:paraId="2889FDD9" w14:textId="77777777" w:rsidR="00053607" w:rsidRPr="001E6259" w:rsidRDefault="00053607" w:rsidP="00053607">
      <w:pPr>
        <w:widowControl w:val="0"/>
        <w:spacing w:line="360" w:lineRule="auto"/>
        <w:jc w:val="both"/>
        <w:rPr>
          <w:rFonts w:eastAsia="Times New Roman"/>
          <w:color w:val="000000"/>
        </w:rPr>
      </w:pPr>
      <w:r w:rsidRPr="001E6259">
        <w:rPr>
          <w:rFonts w:eastAsia="Times New Roman"/>
          <w:b/>
          <w:bCs/>
          <w:color w:val="000000"/>
        </w:rPr>
        <w:t xml:space="preserve">Fig. S15 </w:t>
      </w:r>
      <w:r w:rsidRPr="001E6259">
        <w:rPr>
          <w:rFonts w:eastAsia="Times New Roman"/>
          <w:color w:val="000000"/>
        </w:rPr>
        <w:t>Phylogenetic analysis of DCL and RDR proteins.</w:t>
      </w:r>
    </w:p>
    <w:p w14:paraId="50DC4965" w14:textId="77777777" w:rsidR="00053607" w:rsidRPr="001E6259" w:rsidRDefault="00053607" w:rsidP="00053607">
      <w:pPr>
        <w:widowControl w:val="0"/>
        <w:spacing w:line="360" w:lineRule="auto"/>
        <w:jc w:val="both"/>
        <w:rPr>
          <w:rFonts w:eastAsia="Times New Roman"/>
          <w:color w:val="000000"/>
        </w:rPr>
      </w:pPr>
      <w:r w:rsidRPr="001E6259">
        <w:rPr>
          <w:rFonts w:eastAsia="Times New Roman"/>
          <w:b/>
          <w:bCs/>
          <w:color w:val="000000"/>
        </w:rPr>
        <w:t xml:space="preserve">Fig. S16 </w:t>
      </w:r>
      <w:r w:rsidRPr="001E6259">
        <w:rPr>
          <w:rFonts w:eastAsia="Times New Roman"/>
          <w:bCs/>
        </w:rPr>
        <w:t>Conserved protein domains among DCL3 for some angiosperms</w:t>
      </w:r>
      <w:r>
        <w:rPr>
          <w:rFonts w:eastAsia="Times New Roman"/>
          <w:bCs/>
        </w:rPr>
        <w:t>.</w:t>
      </w:r>
    </w:p>
    <w:p w14:paraId="2DF8802F" w14:textId="77777777" w:rsidR="00053607" w:rsidRPr="001E6259" w:rsidRDefault="00053607" w:rsidP="00053607">
      <w:pPr>
        <w:widowControl w:val="0"/>
        <w:spacing w:line="360" w:lineRule="auto"/>
        <w:jc w:val="both"/>
        <w:rPr>
          <w:rFonts w:eastAsia="Times New Roman"/>
          <w:b/>
          <w:bCs/>
          <w:color w:val="000000"/>
        </w:rPr>
      </w:pPr>
      <w:r w:rsidRPr="001E6259">
        <w:rPr>
          <w:rFonts w:eastAsia="Times New Roman"/>
          <w:b/>
          <w:bCs/>
          <w:color w:val="000000"/>
        </w:rPr>
        <w:t>Fig. S17</w:t>
      </w:r>
      <w:r>
        <w:rPr>
          <w:rFonts w:eastAsia="Times New Roman"/>
          <w:b/>
          <w:bCs/>
          <w:color w:val="000000"/>
        </w:rPr>
        <w:t xml:space="preserve"> </w:t>
      </w:r>
      <w:r w:rsidRPr="001E6259">
        <w:rPr>
          <w:rFonts w:eastAsia="Times New Roman"/>
          <w:bCs/>
        </w:rPr>
        <w:t>Multiple Sequence Alignment of some DCL3 proteins.</w:t>
      </w:r>
      <w:r>
        <w:rPr>
          <w:rFonts w:eastAsia="Times New Roman"/>
          <w:bCs/>
        </w:rPr>
        <w:t xml:space="preserve"> </w:t>
      </w:r>
    </w:p>
    <w:p w14:paraId="315A5268" w14:textId="77777777" w:rsidR="00053607" w:rsidRPr="001E6259" w:rsidRDefault="00053607" w:rsidP="00053607">
      <w:pPr>
        <w:widowControl w:val="0"/>
        <w:spacing w:line="360" w:lineRule="auto"/>
        <w:jc w:val="both"/>
        <w:rPr>
          <w:rFonts w:eastAsia="Times New Roman"/>
          <w:b/>
          <w:bCs/>
          <w:color w:val="000000"/>
        </w:rPr>
      </w:pPr>
      <w:r w:rsidRPr="001E6259">
        <w:rPr>
          <w:rFonts w:eastAsia="Times New Roman"/>
          <w:b/>
          <w:bCs/>
          <w:color w:val="000000"/>
        </w:rPr>
        <w:t xml:space="preserve">Fig. S18 </w:t>
      </w:r>
      <w:r w:rsidRPr="001E6259">
        <w:rPr>
          <w:rFonts w:eastAsia="Times New Roman"/>
        </w:rPr>
        <w:t>Ug</w:t>
      </w:r>
      <w:r w:rsidRPr="001E6259">
        <w:rPr>
          <w:rFonts w:eastAsia="Times New Roman"/>
          <w:i/>
          <w:iCs/>
        </w:rPr>
        <w:t>DCL3</w:t>
      </w:r>
      <w:r w:rsidRPr="001E6259">
        <w:rPr>
          <w:rFonts w:eastAsia="Times New Roman"/>
        </w:rPr>
        <w:t xml:space="preserve"> in the transcriptomic datasets and RACE-PCR</w:t>
      </w:r>
      <w:r>
        <w:rPr>
          <w:rFonts w:eastAsia="Times New Roman"/>
        </w:rPr>
        <w:t xml:space="preserve"> alignment</w:t>
      </w:r>
      <w:r w:rsidRPr="001E6259">
        <w:rPr>
          <w:rFonts w:eastAsia="Times New Roman"/>
        </w:rPr>
        <w:t>.</w:t>
      </w:r>
    </w:p>
    <w:p w14:paraId="7118369F" w14:textId="77777777" w:rsidR="00053607" w:rsidRPr="00FE6027" w:rsidRDefault="00053607" w:rsidP="00053607">
      <w:pPr>
        <w:widowControl w:val="0"/>
        <w:spacing w:line="360" w:lineRule="auto"/>
        <w:jc w:val="both"/>
        <w:rPr>
          <w:rFonts w:eastAsia="Times New Roman"/>
          <w:color w:val="000000"/>
        </w:rPr>
      </w:pPr>
      <w:r w:rsidRPr="001E6259">
        <w:rPr>
          <w:rFonts w:eastAsia="Times New Roman"/>
          <w:b/>
          <w:bCs/>
          <w:color w:val="000000"/>
        </w:rPr>
        <w:t xml:space="preserve">Fig. S19 </w:t>
      </w:r>
      <w:r w:rsidRPr="00FE6027">
        <w:rPr>
          <w:rFonts w:eastAsia="Times New Roman"/>
          <w:color w:val="000000"/>
        </w:rPr>
        <w:t xml:space="preserve">Comparison between m5C identification in </w:t>
      </w:r>
      <w:r w:rsidRPr="00FE6027">
        <w:rPr>
          <w:rFonts w:eastAsia="Times New Roman"/>
          <w:i/>
          <w:iCs/>
          <w:color w:val="000000"/>
        </w:rPr>
        <w:t>A. thaliana</w:t>
      </w:r>
      <w:r w:rsidRPr="00FE6027">
        <w:rPr>
          <w:rFonts w:eastAsia="Times New Roman"/>
          <w:color w:val="000000"/>
        </w:rPr>
        <w:t xml:space="preserve"> with BS-Seq and SMRT-Seq.</w:t>
      </w:r>
    </w:p>
    <w:p w14:paraId="48F45F9B" w14:textId="77777777" w:rsidR="00053607" w:rsidRPr="001E6259" w:rsidRDefault="00053607" w:rsidP="00053607">
      <w:pPr>
        <w:widowControl w:val="0"/>
        <w:spacing w:line="360" w:lineRule="auto"/>
        <w:jc w:val="both"/>
        <w:rPr>
          <w:rFonts w:eastAsia="Times New Roman"/>
          <w:color w:val="000000"/>
        </w:rPr>
      </w:pPr>
      <w:r w:rsidRPr="001E6259">
        <w:rPr>
          <w:rFonts w:eastAsia="Times New Roman"/>
          <w:b/>
          <w:bCs/>
          <w:color w:val="000000"/>
        </w:rPr>
        <w:t xml:space="preserve">Fig. S20 </w:t>
      </w:r>
      <w:r w:rsidRPr="001E6259">
        <w:rPr>
          <w:rFonts w:eastAsia="Times New Roman"/>
        </w:rPr>
        <w:t>Methylation identification with SMRT-Seq.</w:t>
      </w:r>
    </w:p>
    <w:p w14:paraId="6204A23C" w14:textId="77777777" w:rsidR="00053607" w:rsidRDefault="00053607" w:rsidP="00053607">
      <w:pPr>
        <w:widowControl w:val="0"/>
        <w:spacing w:line="360" w:lineRule="auto"/>
        <w:jc w:val="both"/>
        <w:rPr>
          <w:rFonts w:eastAsia="Times New Roman"/>
          <w:b/>
          <w:bCs/>
          <w:color w:val="000000"/>
        </w:rPr>
      </w:pPr>
    </w:p>
    <w:p w14:paraId="66D0CB56" w14:textId="77777777" w:rsidR="00053607" w:rsidRPr="001E6259" w:rsidRDefault="00053607" w:rsidP="00053607">
      <w:pPr>
        <w:widowControl w:val="0"/>
        <w:spacing w:line="360" w:lineRule="auto"/>
        <w:jc w:val="both"/>
        <w:rPr>
          <w:b/>
          <w:bCs/>
        </w:rPr>
      </w:pPr>
    </w:p>
    <w:p w14:paraId="73157F86" w14:textId="77777777" w:rsidR="00053607" w:rsidRPr="001E6259" w:rsidRDefault="00053607" w:rsidP="00053607">
      <w:pPr>
        <w:widowControl w:val="0"/>
        <w:spacing w:line="360" w:lineRule="auto"/>
        <w:jc w:val="both"/>
        <w:rPr>
          <w:b/>
          <w:bCs/>
        </w:rPr>
      </w:pPr>
      <w:r w:rsidRPr="001E6259">
        <w:rPr>
          <w:b/>
          <w:bCs/>
        </w:rPr>
        <w:t xml:space="preserve">Table S1  </w:t>
      </w:r>
      <w:sdt>
        <w:sdtPr>
          <w:rPr>
            <w:b/>
            <w:bCs/>
          </w:rPr>
          <w:alias w:val="Insert short legend here"/>
          <w:tag w:val="Insert short legend here"/>
          <w:id w:val="-1140570976"/>
          <w:placeholder>
            <w:docPart w:val="4210FFCA5927494281F5DAE8C9859581"/>
          </w:placeholder>
        </w:sdtPr>
        <w:sdtEndPr>
          <w:rPr>
            <w:b w:val="0"/>
            <w:bCs w:val="0"/>
          </w:rPr>
        </w:sdtEndPr>
        <w:sdtContent>
          <w:r w:rsidRPr="001E6259">
            <w:rPr>
              <w:rFonts w:eastAsia="Times New Roman"/>
              <w:color w:val="000000"/>
              <w:shd w:val="clear" w:color="auto" w:fill="FFFFFF"/>
            </w:rPr>
            <w:t>lncRNAs features. Summary of lncRNAs size and exon number.</w:t>
          </w:r>
        </w:sdtContent>
      </w:sdt>
    </w:p>
    <w:p w14:paraId="1ACA3D5B" w14:textId="77777777" w:rsidR="00053607" w:rsidRPr="001E6259" w:rsidRDefault="00053607" w:rsidP="00053607">
      <w:pPr>
        <w:widowControl w:val="0"/>
        <w:spacing w:line="360" w:lineRule="auto"/>
        <w:jc w:val="both"/>
        <w:rPr>
          <w:rFonts w:eastAsia="Times New Roman"/>
          <w:color w:val="000000"/>
        </w:rPr>
      </w:pPr>
      <w:r w:rsidRPr="001E6259">
        <w:rPr>
          <w:b/>
          <w:bCs/>
        </w:rPr>
        <w:t xml:space="preserve">Table S2 </w:t>
      </w:r>
      <w:r w:rsidRPr="001E6259">
        <w:rPr>
          <w:rFonts w:eastAsia="Times New Roman"/>
          <w:color w:val="000000"/>
        </w:rPr>
        <w:t>Canonical genes involved in miRNAs biogenesis.</w:t>
      </w:r>
    </w:p>
    <w:p w14:paraId="5BA08155" w14:textId="77777777" w:rsidR="00053607" w:rsidRPr="001E6259" w:rsidRDefault="00053607" w:rsidP="00053607">
      <w:pPr>
        <w:widowControl w:val="0"/>
        <w:spacing w:line="360" w:lineRule="auto"/>
        <w:jc w:val="both"/>
        <w:rPr>
          <w:rFonts w:eastAsia="Times New Roman"/>
          <w:color w:val="000000"/>
        </w:rPr>
      </w:pPr>
      <w:r w:rsidRPr="001E6259">
        <w:rPr>
          <w:rFonts w:eastAsia="Times New Roman"/>
          <w:b/>
          <w:bCs/>
          <w:color w:val="000000"/>
        </w:rPr>
        <w:t xml:space="preserve">Table S3 </w:t>
      </w:r>
      <w:r w:rsidRPr="001E6259">
        <w:rPr>
          <w:rFonts w:eastAsia="Times New Roman"/>
          <w:color w:val="000000"/>
        </w:rPr>
        <w:t xml:space="preserve">Ectopic gametic precursors and female gametophytes in the ovule of </w:t>
      </w:r>
      <w:r w:rsidRPr="001E6259">
        <w:rPr>
          <w:rFonts w:eastAsia="Times New Roman"/>
          <w:i/>
          <w:iCs/>
          <w:color w:val="000000"/>
        </w:rPr>
        <w:t>Utricularia gibba</w:t>
      </w:r>
      <w:r w:rsidRPr="001E6259">
        <w:rPr>
          <w:rFonts w:eastAsia="Times New Roman"/>
          <w:color w:val="000000"/>
        </w:rPr>
        <w:t>.</w:t>
      </w:r>
    </w:p>
    <w:p w14:paraId="2FED1CBC" w14:textId="77777777" w:rsidR="00053607" w:rsidRPr="001E6259" w:rsidRDefault="00053607" w:rsidP="00053607">
      <w:pPr>
        <w:widowControl w:val="0"/>
        <w:spacing w:line="360" w:lineRule="auto"/>
        <w:jc w:val="both"/>
      </w:pPr>
    </w:p>
    <w:p w14:paraId="36741DFB" w14:textId="77777777" w:rsidR="00053607" w:rsidRPr="001E6259" w:rsidRDefault="00053607" w:rsidP="00053607">
      <w:pPr>
        <w:spacing w:line="360" w:lineRule="auto"/>
        <w:jc w:val="both"/>
        <w:rPr>
          <w:rFonts w:eastAsia="Times New Roman"/>
        </w:rPr>
      </w:pPr>
    </w:p>
    <w:p w14:paraId="1FAEFD2D" w14:textId="77777777" w:rsidR="00053607" w:rsidRPr="001E6259" w:rsidRDefault="00053607" w:rsidP="00053607">
      <w:pPr>
        <w:spacing w:line="360" w:lineRule="auto"/>
        <w:jc w:val="center"/>
        <w:rPr>
          <w:rFonts w:eastAsia="Times New Roman"/>
        </w:rPr>
      </w:pPr>
    </w:p>
    <w:p w14:paraId="17337CC5" w14:textId="77777777" w:rsidR="00053607" w:rsidRPr="001E6259" w:rsidRDefault="00053607" w:rsidP="00053607">
      <w:pPr>
        <w:spacing w:line="360" w:lineRule="auto"/>
        <w:rPr>
          <w:rFonts w:eastAsia="Times New Roman"/>
        </w:rPr>
      </w:pPr>
    </w:p>
    <w:p w14:paraId="2D4647BE" w14:textId="77777777" w:rsidR="00053607" w:rsidRPr="001E6259" w:rsidRDefault="00053607" w:rsidP="00053607">
      <w:pPr>
        <w:widowControl w:val="0"/>
        <w:spacing w:line="360" w:lineRule="auto"/>
      </w:pPr>
    </w:p>
    <w:p w14:paraId="7C3B0402" w14:textId="25ADF303" w:rsidR="00053607" w:rsidRDefault="00053607" w:rsidP="00053607">
      <w:pPr>
        <w:spacing w:line="360" w:lineRule="auto"/>
        <w:jc w:val="both"/>
        <w:rPr>
          <w:rFonts w:eastAsia="Times New Roman"/>
          <w:b/>
          <w:bCs/>
          <w:color w:val="000000"/>
        </w:rPr>
      </w:pPr>
    </w:p>
    <w:p w14:paraId="1D508133" w14:textId="34794377" w:rsidR="00053607" w:rsidRDefault="00053607" w:rsidP="00053607">
      <w:pPr>
        <w:spacing w:line="360" w:lineRule="auto"/>
        <w:jc w:val="both"/>
        <w:rPr>
          <w:rFonts w:eastAsia="Times New Roman"/>
          <w:b/>
          <w:bCs/>
          <w:color w:val="000000"/>
        </w:rPr>
      </w:pPr>
    </w:p>
    <w:p w14:paraId="2B1E0014" w14:textId="38F5BC8F" w:rsidR="00053607" w:rsidRDefault="00053607" w:rsidP="00053607">
      <w:pPr>
        <w:spacing w:line="360" w:lineRule="auto"/>
        <w:jc w:val="both"/>
        <w:rPr>
          <w:rFonts w:eastAsia="Times New Roman"/>
          <w:b/>
          <w:bCs/>
          <w:color w:val="000000"/>
        </w:rPr>
      </w:pPr>
    </w:p>
    <w:p w14:paraId="464F83C1" w14:textId="77777777" w:rsidR="00053607" w:rsidRPr="001E6259" w:rsidRDefault="00053607" w:rsidP="00053607">
      <w:pPr>
        <w:spacing w:line="360" w:lineRule="auto"/>
        <w:jc w:val="both"/>
        <w:rPr>
          <w:rFonts w:eastAsia="Times New Roman"/>
          <w:b/>
          <w:bCs/>
          <w:color w:val="000000"/>
        </w:rPr>
      </w:pPr>
    </w:p>
    <w:p w14:paraId="7F15C592" w14:textId="77777777" w:rsidR="00053607" w:rsidRPr="001E6259" w:rsidRDefault="00053607" w:rsidP="00053607">
      <w:pPr>
        <w:spacing w:line="360" w:lineRule="auto"/>
        <w:jc w:val="both"/>
        <w:rPr>
          <w:rFonts w:eastAsia="Times New Roman"/>
          <w:b/>
          <w:bCs/>
          <w:color w:val="000000"/>
        </w:rPr>
      </w:pPr>
    </w:p>
    <w:p w14:paraId="01497432" w14:textId="77777777" w:rsidR="00053607" w:rsidRPr="001E6259" w:rsidRDefault="00053607" w:rsidP="00053607">
      <w:pPr>
        <w:spacing w:line="360" w:lineRule="auto"/>
        <w:jc w:val="both"/>
        <w:rPr>
          <w:rFonts w:eastAsia="Times New Roman"/>
          <w:b/>
          <w:bCs/>
          <w:color w:val="000000"/>
        </w:rPr>
      </w:pPr>
    </w:p>
    <w:p w14:paraId="79FB42E8" w14:textId="77777777" w:rsidR="00053607" w:rsidRPr="001E6259" w:rsidRDefault="00053607" w:rsidP="00053607">
      <w:pPr>
        <w:spacing w:line="360" w:lineRule="auto"/>
        <w:jc w:val="both"/>
        <w:rPr>
          <w:rFonts w:eastAsia="Times New Roman"/>
          <w:b/>
          <w:bCs/>
          <w:color w:val="000000"/>
        </w:rPr>
      </w:pPr>
    </w:p>
    <w:p w14:paraId="3742A695" w14:textId="77777777" w:rsidR="00053607" w:rsidRPr="001E6259" w:rsidRDefault="00053607" w:rsidP="00053607">
      <w:pPr>
        <w:spacing w:line="360" w:lineRule="auto"/>
        <w:jc w:val="both"/>
        <w:rPr>
          <w:rFonts w:eastAsia="Times New Roman"/>
          <w:b/>
          <w:bCs/>
          <w:color w:val="000000"/>
        </w:rPr>
      </w:pPr>
    </w:p>
    <w:p w14:paraId="12FD8184" w14:textId="77777777" w:rsidR="00053607" w:rsidRPr="00053607" w:rsidRDefault="00053607" w:rsidP="00053607">
      <w:pPr>
        <w:spacing w:line="360" w:lineRule="auto"/>
        <w:jc w:val="both"/>
        <w:rPr>
          <w:rFonts w:eastAsia="Times New Roman"/>
          <w:b/>
          <w:bCs/>
          <w:color w:val="000000"/>
          <w:lang w:val="en-US"/>
        </w:rPr>
      </w:pPr>
    </w:p>
    <w:p w14:paraId="225E6133" w14:textId="77777777" w:rsidR="00053607" w:rsidRPr="00053607" w:rsidRDefault="00053607" w:rsidP="00053607">
      <w:pPr>
        <w:spacing w:line="360" w:lineRule="auto"/>
        <w:jc w:val="both"/>
        <w:rPr>
          <w:rFonts w:eastAsia="Times New Roman"/>
          <w:b/>
          <w:bCs/>
          <w:color w:val="000000"/>
          <w:lang w:val="en-US"/>
        </w:rPr>
      </w:pPr>
    </w:p>
    <w:p w14:paraId="19C39681" w14:textId="77777777" w:rsidR="00053607" w:rsidRPr="00053607" w:rsidRDefault="00053607" w:rsidP="00053607">
      <w:pPr>
        <w:spacing w:line="360" w:lineRule="auto"/>
        <w:jc w:val="both"/>
        <w:rPr>
          <w:rFonts w:eastAsia="Times New Roman"/>
          <w:b/>
          <w:bCs/>
          <w:color w:val="000000"/>
          <w:lang w:val="en-US"/>
        </w:rPr>
      </w:pPr>
    </w:p>
    <w:p w14:paraId="43A58D79" w14:textId="77777777" w:rsidR="00053607" w:rsidRPr="001E6259" w:rsidRDefault="00053607" w:rsidP="00053607">
      <w:pPr>
        <w:spacing w:line="360" w:lineRule="auto"/>
        <w:rPr>
          <w:rFonts w:eastAsia="Times New Roman"/>
        </w:rPr>
      </w:pPr>
    </w:p>
    <w:p w14:paraId="413130C0" w14:textId="77777777" w:rsidR="00053607" w:rsidRPr="001E6259" w:rsidRDefault="00053607" w:rsidP="00053607">
      <w:pPr>
        <w:spacing w:line="360" w:lineRule="auto"/>
        <w:rPr>
          <w:rFonts w:eastAsia="Times New Roman"/>
        </w:rPr>
      </w:pPr>
    </w:p>
    <w:p w14:paraId="17280EC5" w14:textId="77777777" w:rsidR="00053607" w:rsidRPr="001E6259" w:rsidRDefault="00053607" w:rsidP="00053607">
      <w:pPr>
        <w:spacing w:line="360" w:lineRule="auto"/>
        <w:jc w:val="center"/>
        <w:rPr>
          <w:rFonts w:eastAsia="Times New Roman"/>
        </w:rPr>
      </w:pPr>
      <w:r w:rsidRPr="001E6259">
        <w:rPr>
          <w:rFonts w:eastAsia="Times New Roman"/>
          <w:noProof/>
        </w:rPr>
        <w:drawing>
          <wp:inline distT="0" distB="0" distL="0" distR="0" wp14:anchorId="3D89A26E" wp14:editId="64292D40">
            <wp:extent cx="5343525" cy="3797797"/>
            <wp:effectExtent l="0" t="0" r="0" b="0"/>
            <wp:docPr id="7" name="Imagen 7" descr="C:\Users\Samsung\Downloads\update_figures_paper\figuras_finales_jpeg\Supp_Figures\mayo19_version\FigS1_octubr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wnloads\update_figures_paper\figuras_finales_jpeg\Supp_Figures\mayo19_version\FigS1_octubre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67661" cy="3814951"/>
                    </a:xfrm>
                    <a:prstGeom prst="rect">
                      <a:avLst/>
                    </a:prstGeom>
                    <a:noFill/>
                    <a:ln>
                      <a:noFill/>
                    </a:ln>
                  </pic:spPr>
                </pic:pic>
              </a:graphicData>
            </a:graphic>
          </wp:inline>
        </w:drawing>
      </w:r>
    </w:p>
    <w:p w14:paraId="76CB46F2" w14:textId="77777777" w:rsidR="00053607" w:rsidRPr="001E6259" w:rsidRDefault="00053607" w:rsidP="00053607">
      <w:pPr>
        <w:spacing w:line="360" w:lineRule="auto"/>
        <w:jc w:val="center"/>
        <w:rPr>
          <w:rFonts w:eastAsia="Times New Roman"/>
        </w:rPr>
      </w:pPr>
    </w:p>
    <w:p w14:paraId="6F6DB8A2" w14:textId="77777777" w:rsidR="00053607" w:rsidRPr="001E6259" w:rsidRDefault="00053607" w:rsidP="00053607">
      <w:pPr>
        <w:spacing w:line="360" w:lineRule="auto"/>
        <w:jc w:val="both"/>
        <w:rPr>
          <w:rFonts w:eastAsia="Times New Roman"/>
          <w:b/>
          <w:bCs/>
          <w:color w:val="000000"/>
        </w:rPr>
      </w:pPr>
    </w:p>
    <w:p w14:paraId="66E3E33A" w14:textId="77777777" w:rsidR="00053607" w:rsidRPr="001E6259" w:rsidRDefault="00053607" w:rsidP="00053607">
      <w:pPr>
        <w:spacing w:line="360" w:lineRule="auto"/>
        <w:jc w:val="both"/>
        <w:rPr>
          <w:rFonts w:eastAsia="Times New Roman"/>
        </w:rPr>
      </w:pPr>
      <w:r w:rsidRPr="001E6259">
        <w:rPr>
          <w:rFonts w:eastAsia="Times New Roman"/>
          <w:b/>
          <w:bCs/>
          <w:color w:val="000000"/>
        </w:rPr>
        <w:t>Fig. S1. Workflow of lncRNAs identification</w:t>
      </w:r>
      <w:r w:rsidRPr="001E6259">
        <w:rPr>
          <w:rFonts w:eastAsia="Times New Roman"/>
          <w:color w:val="000000"/>
        </w:rPr>
        <w:t xml:space="preserve">. Schematization for the identification of lncRNAs in this work. In the workflow, the input/output are representing by blue oval shapes, the arrows are the connector lines that show relationships between the representative shapes, the orange diamonds (which indicates a decision) are the key filters, and brown ovals that are connected to a decision represents all the exclude. A summary with the key steps are described following: the first input of assembled transcripts with size ≥ 200-nt; a decision for protein orthologs must be taken by sequence homology against plant protein database where exclude those transcripts potentially proteins, then the output/input are the transcripts that not found match with proteins, and a second decision implicates the elimination for the similar transcripts to housekeeping and structural transcripts and maintains these without similarity which is the input for the third decision. The final decision calculates the coding potential for a protein in a form of functional </w:t>
      </w:r>
      <w:r w:rsidRPr="001E6259">
        <w:rPr>
          <w:rFonts w:eastAsia="Times New Roman"/>
          <w:color w:val="000000"/>
        </w:rPr>
        <w:lastRenderedPageBreak/>
        <w:t xml:space="preserve">ORF eliminating the potentially coding proteins and retaining the final number of putative lncRNAs in </w:t>
      </w:r>
      <w:r w:rsidRPr="001E6259">
        <w:rPr>
          <w:rFonts w:eastAsia="Times New Roman"/>
          <w:i/>
          <w:iCs/>
          <w:color w:val="000000"/>
        </w:rPr>
        <w:t>U. gibba</w:t>
      </w:r>
      <w:r w:rsidRPr="001E6259">
        <w:rPr>
          <w:rFonts w:eastAsia="Times New Roman"/>
          <w:color w:val="000000"/>
        </w:rPr>
        <w:t xml:space="preserve"> transcriptional landscape.</w:t>
      </w:r>
    </w:p>
    <w:p w14:paraId="5F510F78" w14:textId="77777777" w:rsidR="00053607" w:rsidRPr="001E6259" w:rsidRDefault="00053607" w:rsidP="00053607">
      <w:pPr>
        <w:spacing w:line="360" w:lineRule="auto"/>
        <w:jc w:val="both"/>
        <w:rPr>
          <w:rFonts w:eastAsia="Times New Roman"/>
          <w:b/>
          <w:bCs/>
          <w:color w:val="000000"/>
        </w:rPr>
      </w:pPr>
    </w:p>
    <w:p w14:paraId="43CB48BC" w14:textId="77777777" w:rsidR="00053607" w:rsidRPr="001E6259" w:rsidRDefault="00053607" w:rsidP="00053607">
      <w:pPr>
        <w:spacing w:line="360" w:lineRule="auto"/>
        <w:jc w:val="both"/>
        <w:rPr>
          <w:rFonts w:eastAsia="Times New Roman"/>
          <w:b/>
          <w:bCs/>
          <w:color w:val="000000"/>
        </w:rPr>
      </w:pPr>
    </w:p>
    <w:p w14:paraId="68B21B7A" w14:textId="77777777" w:rsidR="00053607" w:rsidRPr="001E6259" w:rsidRDefault="00053607" w:rsidP="00053607">
      <w:pPr>
        <w:spacing w:line="360" w:lineRule="auto"/>
        <w:jc w:val="both"/>
        <w:rPr>
          <w:rFonts w:eastAsia="Times New Roman"/>
          <w:b/>
          <w:bCs/>
          <w:color w:val="000000"/>
        </w:rPr>
      </w:pPr>
    </w:p>
    <w:p w14:paraId="13D50698" w14:textId="77777777" w:rsidR="00053607" w:rsidRPr="001E6259" w:rsidRDefault="00053607" w:rsidP="00053607">
      <w:pPr>
        <w:spacing w:line="360" w:lineRule="auto"/>
        <w:jc w:val="both"/>
        <w:rPr>
          <w:rFonts w:eastAsia="Times New Roman"/>
          <w:b/>
          <w:bCs/>
          <w:color w:val="000000"/>
        </w:rPr>
      </w:pPr>
    </w:p>
    <w:p w14:paraId="0B5277CC" w14:textId="77777777" w:rsidR="00053607" w:rsidRPr="001E6259" w:rsidRDefault="00053607" w:rsidP="00053607">
      <w:pPr>
        <w:spacing w:line="360" w:lineRule="auto"/>
        <w:jc w:val="center"/>
        <w:rPr>
          <w:rFonts w:eastAsia="Times New Roman"/>
          <w:color w:val="000000"/>
        </w:rPr>
      </w:pPr>
      <w:r w:rsidRPr="001E6259">
        <w:rPr>
          <w:noProof/>
        </w:rPr>
        <w:drawing>
          <wp:inline distT="0" distB="0" distL="0" distR="0" wp14:anchorId="1AB9E18B" wp14:editId="680E5D8C">
            <wp:extent cx="4217154" cy="5276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8861" cy="5291499"/>
                    </a:xfrm>
                    <a:prstGeom prst="rect">
                      <a:avLst/>
                    </a:prstGeom>
                    <a:noFill/>
                    <a:ln>
                      <a:noFill/>
                    </a:ln>
                  </pic:spPr>
                </pic:pic>
              </a:graphicData>
            </a:graphic>
          </wp:inline>
        </w:drawing>
      </w:r>
    </w:p>
    <w:p w14:paraId="75CA9377" w14:textId="77777777" w:rsidR="00053607" w:rsidRPr="001E6259" w:rsidRDefault="00053607" w:rsidP="00053607">
      <w:pPr>
        <w:spacing w:line="360" w:lineRule="auto"/>
        <w:rPr>
          <w:rFonts w:eastAsia="Times New Roman"/>
        </w:rPr>
      </w:pPr>
    </w:p>
    <w:p w14:paraId="6F3F40B9" w14:textId="77777777" w:rsidR="00053607" w:rsidRPr="001E6259" w:rsidRDefault="00053607" w:rsidP="00053607">
      <w:pPr>
        <w:spacing w:after="240" w:line="360" w:lineRule="auto"/>
        <w:jc w:val="both"/>
        <w:rPr>
          <w:rFonts w:eastAsia="Times New Roman"/>
        </w:rPr>
      </w:pPr>
      <w:r w:rsidRPr="001E6259">
        <w:rPr>
          <w:rFonts w:eastAsia="Times New Roman"/>
          <w:b/>
          <w:bCs/>
          <w:color w:val="000000"/>
          <w:shd w:val="clear" w:color="auto" w:fill="FFFFFF"/>
        </w:rPr>
        <w:t xml:space="preserve">Fig. S2. </w:t>
      </w:r>
      <w:r w:rsidRPr="001E6259">
        <w:rPr>
          <w:rFonts w:eastAsia="Times New Roman"/>
          <w:b/>
          <w:bCs/>
          <w:color w:val="000000"/>
        </w:rPr>
        <w:t>Experimental validation of Pac-Bio methylome data.</w:t>
      </w:r>
      <w:r w:rsidRPr="001E6259">
        <w:rPr>
          <w:rFonts w:eastAsia="Times New Roman"/>
          <w:color w:val="000000"/>
        </w:rPr>
        <w:t xml:space="preserve"> </w:t>
      </w:r>
      <w:r w:rsidRPr="001E6259">
        <w:rPr>
          <w:rFonts w:eastAsia="Times New Roman"/>
          <w:b/>
          <w:bCs/>
          <w:color w:val="000000"/>
        </w:rPr>
        <w:t xml:space="preserve">(a) </w:t>
      </w:r>
      <w:r w:rsidRPr="001E6259">
        <w:rPr>
          <w:rFonts w:eastAsia="Times New Roman"/>
          <w:color w:val="000000"/>
        </w:rPr>
        <w:t xml:space="preserve">Selection of genomic regions for Chop-qPCR Analysis. Two genomic regions (~ 9 </w:t>
      </w:r>
      <w:proofErr w:type="spellStart"/>
      <w:r w:rsidRPr="001E6259">
        <w:rPr>
          <w:rFonts w:eastAsia="Times New Roman"/>
          <w:color w:val="000000"/>
        </w:rPr>
        <w:t>Kb</w:t>
      </w:r>
      <w:proofErr w:type="spellEnd"/>
      <w:r w:rsidRPr="001E6259">
        <w:rPr>
          <w:rFonts w:eastAsia="Times New Roman"/>
          <w:color w:val="000000"/>
        </w:rPr>
        <w:t xml:space="preserve"> each) were selected from Utricularia </w:t>
      </w:r>
      <w:proofErr w:type="spellStart"/>
      <w:r w:rsidRPr="001E6259">
        <w:rPr>
          <w:rFonts w:eastAsia="Times New Roman"/>
          <w:color w:val="000000"/>
        </w:rPr>
        <w:t>gibba</w:t>
      </w:r>
      <w:proofErr w:type="spellEnd"/>
      <w:r w:rsidRPr="001E6259">
        <w:rPr>
          <w:rFonts w:eastAsia="Times New Roman"/>
          <w:color w:val="000000"/>
        </w:rPr>
        <w:t xml:space="preserve"> </w:t>
      </w:r>
      <w:proofErr w:type="spellStart"/>
      <w:r w:rsidRPr="001E6259">
        <w:rPr>
          <w:rFonts w:eastAsia="Times New Roman"/>
          <w:color w:val="000000"/>
        </w:rPr>
        <w:t>Unitig</w:t>
      </w:r>
      <w:proofErr w:type="spellEnd"/>
      <w:r w:rsidRPr="001E6259">
        <w:rPr>
          <w:rFonts w:eastAsia="Times New Roman"/>
          <w:color w:val="000000"/>
        </w:rPr>
        <w:t xml:space="preserve"> 0 for analysis, one gene rich region (GRich, purple line) and one gene poor region (GPoor, red line (pericentromeric)), within each of these particular regions two independent </w:t>
      </w:r>
      <w:r w:rsidRPr="001E6259">
        <w:rPr>
          <w:rFonts w:eastAsia="Times New Roman"/>
          <w:color w:val="000000"/>
        </w:rPr>
        <w:lastRenderedPageBreak/>
        <w:t>regions with similar DNA methylation density values presenting restriction sites for either Hpa II (green line) and Hae II (blue line) (GRich B, GPoor B) DNA methylation sensitive enzymes or absence of the same restriction sites (</w:t>
      </w:r>
      <w:proofErr w:type="spellStart"/>
      <w:r w:rsidRPr="001E6259">
        <w:rPr>
          <w:rFonts w:eastAsia="Times New Roman"/>
          <w:color w:val="000000"/>
        </w:rPr>
        <w:t>GRichA</w:t>
      </w:r>
      <w:proofErr w:type="spellEnd"/>
      <w:r w:rsidRPr="001E6259">
        <w:rPr>
          <w:rFonts w:eastAsia="Times New Roman"/>
          <w:color w:val="000000"/>
        </w:rPr>
        <w:t xml:space="preserve">, </w:t>
      </w:r>
      <w:proofErr w:type="spellStart"/>
      <w:r w:rsidRPr="001E6259">
        <w:rPr>
          <w:rFonts w:eastAsia="Times New Roman"/>
          <w:color w:val="000000"/>
        </w:rPr>
        <w:t>GRichB</w:t>
      </w:r>
      <w:proofErr w:type="spellEnd"/>
      <w:r w:rsidRPr="001E6259">
        <w:rPr>
          <w:rFonts w:eastAsia="Times New Roman"/>
          <w:color w:val="000000"/>
        </w:rPr>
        <w:t xml:space="preserve">) were selected. </w:t>
      </w:r>
      <w:r w:rsidRPr="001E6259">
        <w:rPr>
          <w:rFonts w:eastAsia="Times New Roman"/>
          <w:b/>
          <w:bCs/>
          <w:color w:val="000000"/>
        </w:rPr>
        <w:t>(b)</w:t>
      </w:r>
      <w:r w:rsidRPr="001E6259">
        <w:rPr>
          <w:rFonts w:eastAsia="Times New Roman"/>
          <w:color w:val="000000"/>
        </w:rPr>
        <w:t xml:space="preserve"> </w:t>
      </w:r>
      <w:proofErr w:type="spellStart"/>
      <w:r w:rsidRPr="001E6259">
        <w:rPr>
          <w:rFonts w:eastAsia="Times New Roman"/>
          <w:color w:val="000000"/>
        </w:rPr>
        <w:t>Eschematic</w:t>
      </w:r>
      <w:proofErr w:type="spellEnd"/>
      <w:r w:rsidRPr="001E6259">
        <w:rPr>
          <w:rFonts w:eastAsia="Times New Roman"/>
          <w:color w:val="000000"/>
        </w:rPr>
        <w:t xml:space="preserve"> representation of the Chop-qPCR experiment workflow. Vegetative tissue explants </w:t>
      </w:r>
      <w:proofErr w:type="spellStart"/>
      <w:r w:rsidRPr="001E6259">
        <w:rPr>
          <w:rFonts w:eastAsia="Times New Roman"/>
          <w:color w:val="000000"/>
        </w:rPr>
        <w:t>fom</w:t>
      </w:r>
      <w:proofErr w:type="spellEnd"/>
      <w:r w:rsidRPr="001E6259">
        <w:rPr>
          <w:rFonts w:eastAsia="Times New Roman"/>
          <w:color w:val="000000"/>
        </w:rPr>
        <w:t xml:space="preserve"> </w:t>
      </w:r>
      <w:r w:rsidRPr="001E6259">
        <w:rPr>
          <w:rFonts w:eastAsia="Times New Roman"/>
          <w:i/>
          <w:iCs/>
          <w:color w:val="000000"/>
        </w:rPr>
        <w:t xml:space="preserve">Utricularia </w:t>
      </w:r>
      <w:proofErr w:type="spellStart"/>
      <w:r w:rsidRPr="001E6259">
        <w:rPr>
          <w:rFonts w:eastAsia="Times New Roman"/>
          <w:i/>
          <w:iCs/>
          <w:color w:val="000000"/>
        </w:rPr>
        <w:t>gibba</w:t>
      </w:r>
      <w:proofErr w:type="spellEnd"/>
      <w:r w:rsidRPr="001E6259">
        <w:rPr>
          <w:rFonts w:eastAsia="Times New Roman"/>
          <w:color w:val="000000"/>
        </w:rPr>
        <w:t xml:space="preserve"> plants grown in MS media 0.5 X (MS 0.5X) for X days (1), were transferred to new MS 0.5X recipients containing either 0 (non-Zeb treatment) or 50 </w:t>
      </w:r>
      <w:r w:rsidRPr="001E6259">
        <w:rPr>
          <w:rFonts w:eastAsia="Times New Roman"/>
          <w:color w:val="000000"/>
        </w:rPr>
        <w:t xml:space="preserve">M Zebularine (Zeb treatment) for 8 days (2). Tissue of both Zeb and non-Zeb treatment was collected for genomic DNA isolation and purification (3). Purified Utricularia gibba genomic DNA was either non-digested or digested with methylation sensitive restriction enzymes Hae III or Hpa II (restriction is decreased or blocked if there is 5mC methylation inside recognition sequence) (4). Chop-qPCR was performed using digested and nondigested DNA from Zeb and non-Zeb samples (5). </w:t>
      </w:r>
      <w:r w:rsidRPr="001E6259">
        <w:rPr>
          <w:rFonts w:eastAsia="Times New Roman"/>
          <w:b/>
          <w:bCs/>
          <w:color w:val="000000"/>
        </w:rPr>
        <w:t>(c)</w:t>
      </w:r>
      <w:r w:rsidRPr="001E6259">
        <w:rPr>
          <w:rFonts w:eastAsia="Times New Roman"/>
          <w:color w:val="000000"/>
        </w:rPr>
        <w:t xml:space="preserve"> Chop-qPCR of </w:t>
      </w:r>
      <w:r w:rsidRPr="001E6259">
        <w:rPr>
          <w:rFonts w:eastAsia="Times New Roman"/>
          <w:i/>
          <w:iCs/>
          <w:color w:val="000000"/>
        </w:rPr>
        <w:t xml:space="preserve">Utricularia </w:t>
      </w:r>
      <w:proofErr w:type="spellStart"/>
      <w:r w:rsidRPr="001E6259">
        <w:rPr>
          <w:rFonts w:eastAsia="Times New Roman"/>
          <w:i/>
          <w:iCs/>
          <w:color w:val="000000"/>
        </w:rPr>
        <w:t>gibba</w:t>
      </w:r>
      <w:proofErr w:type="spellEnd"/>
      <w:r w:rsidRPr="001E6259">
        <w:rPr>
          <w:rFonts w:eastAsia="Times New Roman"/>
          <w:color w:val="000000"/>
        </w:rPr>
        <w:t xml:space="preserve"> </w:t>
      </w:r>
      <w:proofErr w:type="spellStart"/>
      <w:r w:rsidRPr="001E6259">
        <w:rPr>
          <w:rFonts w:eastAsia="Times New Roman"/>
          <w:color w:val="000000"/>
        </w:rPr>
        <w:t>Unitig</w:t>
      </w:r>
      <w:proofErr w:type="spellEnd"/>
      <w:r w:rsidRPr="001E6259">
        <w:rPr>
          <w:rFonts w:eastAsia="Times New Roman"/>
          <w:color w:val="000000"/>
        </w:rPr>
        <w:t xml:space="preserve"> 0 </w:t>
      </w:r>
      <w:proofErr w:type="spellStart"/>
      <w:r w:rsidRPr="001E6259">
        <w:rPr>
          <w:rFonts w:eastAsia="Times New Roman"/>
          <w:color w:val="000000"/>
        </w:rPr>
        <w:t>GRich</w:t>
      </w:r>
      <w:proofErr w:type="spellEnd"/>
      <w:r w:rsidRPr="001E6259">
        <w:rPr>
          <w:rFonts w:eastAsia="Times New Roman"/>
          <w:color w:val="000000"/>
        </w:rPr>
        <w:t xml:space="preserve"> and </w:t>
      </w:r>
      <w:proofErr w:type="spellStart"/>
      <w:r w:rsidRPr="001E6259">
        <w:rPr>
          <w:rFonts w:eastAsia="Times New Roman"/>
          <w:color w:val="000000"/>
        </w:rPr>
        <w:t>Gpoor</w:t>
      </w:r>
      <w:proofErr w:type="spellEnd"/>
      <w:r w:rsidRPr="001E6259">
        <w:rPr>
          <w:rFonts w:eastAsia="Times New Roman"/>
          <w:color w:val="000000"/>
        </w:rPr>
        <w:t xml:space="preserve"> regions. Average of the amplification values of </w:t>
      </w:r>
      <w:proofErr w:type="spellStart"/>
      <w:r w:rsidRPr="001E6259">
        <w:rPr>
          <w:rFonts w:eastAsia="Times New Roman"/>
          <w:color w:val="000000"/>
        </w:rPr>
        <w:t>Unitig</w:t>
      </w:r>
      <w:proofErr w:type="spellEnd"/>
      <w:r w:rsidRPr="001E6259">
        <w:rPr>
          <w:rFonts w:eastAsia="Times New Roman"/>
          <w:color w:val="000000"/>
        </w:rPr>
        <w:t xml:space="preserve"> 0 regions without Hae III and Hpa II sites were used as internal controls (GRich A, GPoor A); non-Zebularine treatment values for each time point were used as calibrator samples. Values are foldchange of either digested (Hae III, Hpa II) and non-digested (non-Hae III, non-Hpa II) Zebularine treatments compared with non-Zebularine treatments, </w:t>
      </w:r>
      <w:proofErr w:type="spellStart"/>
      <w:r w:rsidRPr="001E6259">
        <w:rPr>
          <w:rFonts w:eastAsia="Times New Roman"/>
          <w:color w:val="000000"/>
        </w:rPr>
        <w:t>eg.</w:t>
      </w:r>
      <w:proofErr w:type="spellEnd"/>
      <w:r w:rsidRPr="001E6259">
        <w:rPr>
          <w:rFonts w:eastAsia="Times New Roman"/>
          <w:color w:val="000000"/>
        </w:rPr>
        <w:t xml:space="preserve"> a fold-change value lower than 1 indicates a decrease in the amplification of a fragment in the Zebularine treatment. Data presented are means of two biological replicates ± SEM (of two technical replicates each).</w:t>
      </w:r>
    </w:p>
    <w:p w14:paraId="7EE7512F" w14:textId="03FA20D8" w:rsidR="00053607" w:rsidRPr="001E6259" w:rsidRDefault="00053607" w:rsidP="00053607">
      <w:pPr>
        <w:spacing w:line="360" w:lineRule="auto"/>
        <w:jc w:val="both"/>
        <w:rPr>
          <w:rFonts w:eastAsia="Times New Roman"/>
        </w:rPr>
      </w:pPr>
    </w:p>
    <w:p w14:paraId="0B22871E" w14:textId="77777777" w:rsidR="00053607" w:rsidRPr="001E6259" w:rsidRDefault="00053607" w:rsidP="00053607">
      <w:pPr>
        <w:spacing w:after="240" w:line="360" w:lineRule="auto"/>
        <w:jc w:val="center"/>
        <w:rPr>
          <w:rFonts w:eastAsia="Times New Roman"/>
        </w:rPr>
      </w:pPr>
      <w:r w:rsidRPr="001E6259">
        <w:rPr>
          <w:noProof/>
        </w:rPr>
        <w:drawing>
          <wp:inline distT="0" distB="0" distL="0" distR="0" wp14:anchorId="0A27ABB7" wp14:editId="2EF33584">
            <wp:extent cx="3927475" cy="23564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7475" cy="2356485"/>
                    </a:xfrm>
                    <a:prstGeom prst="rect">
                      <a:avLst/>
                    </a:prstGeom>
                    <a:noFill/>
                    <a:ln>
                      <a:noFill/>
                    </a:ln>
                  </pic:spPr>
                </pic:pic>
              </a:graphicData>
            </a:graphic>
          </wp:inline>
        </w:drawing>
      </w:r>
    </w:p>
    <w:p w14:paraId="1BDC3A96" w14:textId="537869D4" w:rsidR="00053607" w:rsidRPr="001E6259" w:rsidRDefault="00053607" w:rsidP="00053607">
      <w:pPr>
        <w:spacing w:line="360" w:lineRule="auto"/>
        <w:jc w:val="both"/>
        <w:rPr>
          <w:rFonts w:eastAsia="Times New Roman"/>
        </w:rPr>
      </w:pPr>
      <w:r w:rsidRPr="001E6259">
        <w:rPr>
          <w:rFonts w:eastAsia="Times New Roman"/>
          <w:b/>
          <w:bCs/>
          <w:color w:val="000000"/>
        </w:rPr>
        <w:t>Fig. S3. Intergenic lncRNAs identification in some plants</w:t>
      </w:r>
      <w:r w:rsidRPr="001E6259">
        <w:rPr>
          <w:rFonts w:eastAsia="Times New Roman"/>
          <w:color w:val="000000"/>
        </w:rPr>
        <w:t xml:space="preserve">. A comparison of intergenic lncRNAs identification for plants only at genomic level searched in the reports for each one of them. For </w:t>
      </w:r>
      <w:r w:rsidRPr="001E6259">
        <w:rPr>
          <w:rFonts w:eastAsia="Times New Roman"/>
          <w:color w:val="000000"/>
        </w:rPr>
        <w:lastRenderedPageBreak/>
        <w:t xml:space="preserve">some cases only high confidence lncRNAs were used. The data were obtained from the follow reports: Maize </w:t>
      </w:r>
      <w:r w:rsidRPr="001E6259">
        <w:rPr>
          <w:rFonts w:eastAsia="Times New Roman"/>
          <w:color w:val="000000"/>
        </w:rPr>
        <w:fldChar w:fldCharType="begin" w:fldLock="1"/>
      </w:r>
      <w:r w:rsidRPr="001E6259">
        <w:rPr>
          <w:rFonts w:eastAsia="Times New Roman"/>
          <w:color w:val="000000"/>
        </w:rPr>
        <w:instrText>ADDIN CSL_CITATION {"citationItems":[{"id":"ITEM-1","itemData":{"DOI":"10.1186/gb-2014-15-2-r40","ISSN":"1474-760X","abstract":"Long non-coding RNAs (lncRNAs) are transcripts that are 200 bp or longer, do not encode proteins, and potentially play important roles in eukaryotic gene regulation. However, the number, characteristics and expression inheritance pattern of lncRNAs in maize are still largely unknown.","author":[{"dropping-particle":"","family":"Li","given":"Lin","non-dropping-particle":"","parse-names":false,"suffix":""},{"dropping-particle":"","family":"Eichten","given":"Steven R","non-dropping-particle":"","parse-names":false,"suffix":""},{"dropping-particle":"","family":"Shimizu","given":"Rena","non-dropping-particle":"","parse-names":false,"suffix":""},{"dropping-particle":"","family":"Petsch","given":"Katherine","non-dropping-particle":"","parse-names":false,"suffix":""},{"dropping-particle":"","family":"Yeh","given":"Cheng-Ting","non-dropping-particle":"","parse-names":false,"suffix":""},{"dropping-particle":"","family":"Wu","given":"Wei","non-dropping-particle":"","parse-names":false,"suffix":""},{"dropping-particle":"","family":"Chettoor","given":"Antony M","non-dropping-particle":"","parse-names":false,"suffix":""},{"dropping-particle":"","family":"Givan","given":"Scott A","non-dropping-particle":"","parse-names":false,"suffix":""},{"dropping-particle":"","family":"Cole","given":"Rex A","non-dropping-particle":"","parse-names":false,"suffix":""},{"dropping-particle":"","family":"Fowler","given":"John E","non-dropping-particle":"","parse-names":false,"suffix":""},{"dropping-particle":"","family":"Evans","given":"Matthew M S","non-dropping-particle":"","parse-names":false,"suffix":""},{"dropping-particle":"","family":"Scanlon","given":"Michael J","non-dropping-particle":"","parse-names":false,"suffix":""},{"dropping-particle":"","family":"Yu","given":"Jianming","non-dropping-particle":"","parse-names":false,"suffix":""},{"dropping-particle":"","family":"Schnable","given":"Patrick S","non-dropping-particle":"","parse-names":false,"suffix":""},{"dropping-particle":"","family":"Timmermans","given":"Marja C P","non-dropping-particle":"","parse-names":false,"suffix":""},{"dropping-particle":"","family":"Springer","given":"Nathan M","non-dropping-particle":"","parse-names":false,"suffix":""},{"dropping-particle":"","family":"Muehlbauer","given":"Gary J","non-dropping-particle":"","parse-names":false,"suffix":""}],"container-title":"Genome Biology","id":"ITEM-1","issue":"2","issued":{"date-parts":[["2014"]]},"page":"R40","title":"Genome-wide discovery and characterization of maize long non-coding RNAs","type":"article-journal","volume":"15"},"uris":["http://www.mendeley.com/documents/?uuid=e3f66d33-9c56-4dd0-8658-706a5c500932"]}],"mendeley":{"formattedCitation":"(4)","plainTextFormattedCitation":"(4)","previouslyFormattedCitation":"(4)"},"properties":{"noteIndex":0},"schema":"https://github.com/citation-style-language/schema/raw/master/csl-citation.json"}</w:instrText>
      </w:r>
      <w:r w:rsidRPr="001E6259">
        <w:rPr>
          <w:rFonts w:eastAsia="Times New Roman"/>
          <w:color w:val="000000"/>
        </w:rPr>
        <w:fldChar w:fldCharType="separate"/>
      </w:r>
      <w:r w:rsidRPr="001E6259">
        <w:rPr>
          <w:rFonts w:eastAsia="Times New Roman"/>
          <w:noProof/>
          <w:color w:val="000000"/>
        </w:rPr>
        <w:t>(4)</w:t>
      </w:r>
      <w:r w:rsidRPr="001E6259">
        <w:rPr>
          <w:rFonts w:eastAsia="Times New Roman"/>
          <w:color w:val="000000"/>
        </w:rPr>
        <w:fldChar w:fldCharType="end"/>
      </w:r>
      <w:r w:rsidRPr="001E6259">
        <w:rPr>
          <w:rFonts w:eastAsia="Times New Roman"/>
          <w:color w:val="000000"/>
        </w:rPr>
        <w:t xml:space="preserve">, Cotton </w:t>
      </w:r>
      <w:r w:rsidRPr="001E6259">
        <w:rPr>
          <w:rFonts w:eastAsia="Times New Roman"/>
          <w:color w:val="000000"/>
        </w:rPr>
        <w:fldChar w:fldCharType="begin" w:fldLock="1"/>
      </w:r>
      <w:r w:rsidRPr="001E6259">
        <w:rPr>
          <w:rFonts w:eastAsia="Times New Roman"/>
          <w:color w:val="000000"/>
        </w:rPr>
        <w:instrText>ADDIN CSL_CITATION {"citationItems":[{"id":"ITEM-1","itemData":{"DOI":"10.1111/nph.13429","ISSN":"0028-646X","abstract":"Summary Long noncoding RNAs (lncRNAs) are transcripts of at least 200 bp in length, possess no apparent coding capacity and are involved in various biological regulatory processes. Until now, no systematic identification of lncRNAs has been reported in cotton (Gossypium spp.). Here, we describe the identification of 30 550 long intergenic noncoding RNA (lincRNA) loci (50 566 transcripts) and 4718 long noncoding natural antisense transcript (lncNAT) loci (5826 transcripts). LncRNAs are rich in repetitive sequences and preferentially expressed in a tissue-specific manner. The detection of abundant genome-specific and/or lineage-specific lncRNAs indicated their weak evolutionary conservation. Approximately 76% of homoeologous lncRNAs exhibit biased expression patterns towards the At or Dt subgenomes. Compared with protein-coding genes, lncRNAs showed overall higher methylation levels and their expression was less affected by gene body methylation. Expression validation in different cotton accessions and coexpression network construction helped to identify several functional lncRNA candidates involved in cotton fibre initiation and elongation. Analysis of integrated expression from the subgenomes of lncRNAs generating miR397 and its targets as a result of genome polyploidization indicated their pivotal functions in regulating lignin metabolism in domesticated tetraploid cotton fibres. This study provides the first comprehensive identification of lncRNAs in Gossypium.","author":[{"dropping-particle":"","family":"Wang","given":"Maojun","non-dropping-particle":"","parse-names":false,"suffix":""},{"dropping-particle":"","family":"Yuan","given":"Daojun","non-dropping-particle":"","parse-names":false,"suffix":""},{"dropping-particle":"","family":"Tu","given":"Lili","non-dropping-particle":"","parse-names":false,"suffix":""},{"dropping-particle":"","family":"Gao","given":"Wenhui","non-dropping-particle":"","parse-names":false,"suffix":""},{"dropping-particle":"","family":"He","given":"Yonghui","non-dropping-particle":"","parse-names":false,"suffix":""},{"dropping-particle":"","family":"Hu","given":"Haiyan","non-dropping-particle":"","parse-names":false,"suffix":""},{"dropping-particle":"","family":"Wang","given":"Pengcheng","non-dropping-particle":"","parse-names":false,"suffix":""},{"dropping-particle":"","family":"Liu","given":"Nian","non-dropping-particle":"","parse-names":false,"suffix":""},{"dropping-particle":"","family":"Lindsey","given":"Keith","non-dropping-particle":"","parse-names":false,"suffix":""},{"dropping-particle":"","family":"Zhang","given":"Xianlong","non-dropping-particle":"","parse-names":false,"suffix":""}],"container-title":"New Phytologist","id":"ITEM-1","issue":"4","issued":{"date-parts":[["2015","9","1"]]},"note":"doi: 10.1111/nph.13429","page":"1181-1197","publisher":"John Wiley &amp; Sons, Ltd (10.1111)","title":"Long noncoding RNAs and their proposed functions in fibre development of cotton (Gossypium spp.)","type":"article-journal","volume":"207"},"uris":["http://www.mendeley.com/documents/?uuid=b46a4d01-e729-4b0f-8c2a-fdd538e0a41e"]}],"mendeley":{"formattedCitation":"(5)","plainTextFormattedCitation":"(5)","previouslyFormattedCitation":"(5)"},"properties":{"noteIndex":0},"schema":"https://github.com/citation-style-language/schema/raw/master/csl-citation.json"}</w:instrText>
      </w:r>
      <w:r w:rsidRPr="001E6259">
        <w:rPr>
          <w:rFonts w:eastAsia="Times New Roman"/>
          <w:color w:val="000000"/>
        </w:rPr>
        <w:fldChar w:fldCharType="separate"/>
      </w:r>
      <w:r w:rsidRPr="001E6259">
        <w:rPr>
          <w:rFonts w:eastAsia="Times New Roman"/>
          <w:noProof/>
          <w:color w:val="000000"/>
          <w:lang w:val="es-MX"/>
        </w:rPr>
        <w:t>(5)</w:t>
      </w:r>
      <w:r w:rsidRPr="001E6259">
        <w:rPr>
          <w:rFonts w:eastAsia="Times New Roman"/>
          <w:color w:val="000000"/>
        </w:rPr>
        <w:fldChar w:fldCharType="end"/>
      </w:r>
      <w:r w:rsidRPr="001E6259">
        <w:rPr>
          <w:rFonts w:eastAsia="Times New Roman"/>
          <w:color w:val="000000"/>
          <w:lang w:val="es-MX"/>
        </w:rPr>
        <w:t xml:space="preserve">, tomato </w:t>
      </w:r>
      <w:r w:rsidRPr="001E6259">
        <w:rPr>
          <w:rFonts w:eastAsia="Times New Roman"/>
          <w:color w:val="000000"/>
        </w:rPr>
        <w:fldChar w:fldCharType="begin" w:fldLock="1"/>
      </w:r>
      <w:r w:rsidRPr="001E6259">
        <w:rPr>
          <w:rFonts w:eastAsia="Times New Roman"/>
          <w:color w:val="000000"/>
          <w:lang w:val="es-MX"/>
        </w:rPr>
        <w:instrText>ADDIN CSL_CITATION {"citationItems":[{"id":"ITEM-1","itemData":{"DOI":"10.1093/jxb/erv203","ISSN":"0022-0957","author":[{"dropping-particle":"","family":"Zhu","given":"B.","non-dropping-particle":"","parse-names":false,"suffix":""},{"dropping-particle":"","family":"Yang","given":"Y.","non-dropping-particle":"","parse-names":false,"suffix":""},{"dropping-particle":"","family":"Li","given":"R.","non-dropping-particle":"","parse-names":false,"suffix":""},{"dropping-particle":"","family":"Fu","given":"D.","non-dropping-particle":"","parse-names":false,"suffix":""},{"dropping-particle":"","family":"Wen","given":"L.","non-dropping-particle":"","parse-names":false,"suffix":""},{"dropping-particle":"","family":"Luo","given":"Y.","non-dropping-particle":"","parse-names":false,"suffix":""},{"dropping-particle":"","family":"Zhu","given":"H.","non-dropping-particle":"","parse-names":false,"suffix":""}],"container-title":"Journal of Experimental Botany","id":"ITEM-1","issue":"15","issued":{"date-parts":[["2015"]]},"page":"4483-4495","title":"RNA sequencing and functional analysis implicate the regulatory role of long non-coding RNAs in tomato fruit ripening","type":"article-journal","volume":"66"},"uris":["http://www.mendeley.com/documents/?uuid=5d15b1a8-0744-4c8f-9174-8e3ddf598e6b"]}],"mendeley":{"formattedCitation":"(6)","plainTextFormattedCitation":"(6)","previouslyFormattedCitation":"(6)"},"properties":{"noteIndex":0},"schema":"https://github.com/citation-style-language/schema/raw/master/csl-citation.json"}</w:instrText>
      </w:r>
      <w:r w:rsidRPr="001E6259">
        <w:rPr>
          <w:rFonts w:eastAsia="Times New Roman"/>
          <w:color w:val="000000"/>
        </w:rPr>
        <w:fldChar w:fldCharType="separate"/>
      </w:r>
      <w:r w:rsidRPr="001E6259">
        <w:rPr>
          <w:rFonts w:eastAsia="Times New Roman"/>
          <w:noProof/>
          <w:color w:val="000000"/>
          <w:lang w:val="es-MX"/>
        </w:rPr>
        <w:t>(6)</w:t>
      </w:r>
      <w:r w:rsidRPr="001E6259">
        <w:rPr>
          <w:rFonts w:eastAsia="Times New Roman"/>
          <w:color w:val="000000"/>
        </w:rPr>
        <w:fldChar w:fldCharType="end"/>
      </w:r>
      <w:r w:rsidRPr="001E6259">
        <w:rPr>
          <w:rFonts w:eastAsia="Times New Roman"/>
          <w:color w:val="000000"/>
          <w:lang w:val="es-MX"/>
        </w:rPr>
        <w:t xml:space="preserve">, Populus </w:t>
      </w:r>
      <w:r w:rsidRPr="001E6259">
        <w:rPr>
          <w:rFonts w:eastAsia="Times New Roman"/>
          <w:color w:val="000000"/>
          <w:lang w:val="es-MX"/>
        </w:rPr>
        <w:fldChar w:fldCharType="begin" w:fldLock="1"/>
      </w:r>
      <w:r w:rsidRPr="001E6259">
        <w:rPr>
          <w:rFonts w:eastAsia="Times New Roman"/>
          <w:color w:val="000000"/>
          <w:lang w:val="es-MX"/>
        </w:rPr>
        <w:instrText>ADDIN CSL_CITATION {"citationItems":[{"id":"ITEM-1","itemData":{"ISSN":"0022-0957","abstract":"Protein-coding genes are considered to be a dominant component of the eukaryotic transcriptome; however, many studies have shown that intergenic, non-coding transcripts also play an important role. Long intergenic non-coding RNAs (lincRNAs) were found to play a vital role in human and Arabidopsis. However, lincRNAs and their regulatory roles remain poorly characterized in woody plants, especially Populus trichocarpa (P. trichocarpa). A large set of Populus RNA-Seq data were examined with high sequencing depth under control and drought conditions and a total of 2542 lincRNA candidates were identified. In total, 51 lincRNAs and 20 lincRNAs were identified as putative targets and target mimics of known Populus miRNAs, respectively. A total of 504 lincRNAs were found to be drought responsive, eight of which were confirmed by RT-qPCR. These findings provide a comprehensive view of Populus lincRNAs, which will enable in-depth functional analysis.","author":[{"dropping-particle":"","family":"Shuai","given":"Peng","non-dropping-particle":"","parse-names":false,"suffix":""},{"dropping-particle":"","family":"Liang","given":"Dan","non-dropping-particle":"","parse-names":false,"suffix":""},{"dropping-particle":"","family":"Tang","given":"Sha","non-dropping-particle":"","parse-names":false,"suffix":""},{"dropping-particle":"","family":"Zhang","given":"Zhoujia","non-dropping-particle":"","parse-names":false,"suffix":""},{"dropping-particle":"","family":"Ye","given":"Chu-Yu","non-dropping-particle":"","parse-names":false,"suffix":""},{"dropping-particle":"","family":"Su","given":"Yanyan","non-dropping-particle":"","parse-names":false,"suffix":""},{"dropping-particle":"","family":"Xia","given":"Xinli","non-dropping-particle":"","parse-names":false,"suffix":""},{"dropping-particle":"","family":"Yin","given":"Weilun","non-dropping-particle":"","parse-names":false,"suffix":""}],"container-title":"Journal of Experimental Botany","id":"ITEM-1","issue":"17","issued":{"date-parts":[["2014","9","1"]]},"note":"10.1093/jxb/eru256","page":"4975-4983","title":"Genome-wide identification and functional prediction of novel and drought-responsive lincRNAs in Populus trichocarpa","type":"article-journal","volume":"65"},"uris":["http://www.mendeley.com/documents/?uuid=0aa25a5e-828e-47c0-b931-59ecd064322d"]}],"mendeley":{"formattedCitation":"(7)","plainTextFormattedCitation":"(7)","previouslyFormattedCitation":"(7)"},"properties":{"noteIndex":0},"schema":"https://github.com/citation-style-language/schema/raw/master/csl-citation.json"}</w:instrText>
      </w:r>
      <w:r w:rsidRPr="001E6259">
        <w:rPr>
          <w:rFonts w:eastAsia="Times New Roman"/>
          <w:color w:val="000000"/>
          <w:lang w:val="es-MX"/>
        </w:rPr>
        <w:fldChar w:fldCharType="separate"/>
      </w:r>
      <w:r w:rsidRPr="001E6259">
        <w:rPr>
          <w:rFonts w:eastAsia="Times New Roman"/>
          <w:noProof/>
          <w:color w:val="000000"/>
          <w:lang w:val="es-MX"/>
        </w:rPr>
        <w:t>(7)</w:t>
      </w:r>
      <w:r w:rsidRPr="001E6259">
        <w:rPr>
          <w:rFonts w:eastAsia="Times New Roman"/>
          <w:color w:val="000000"/>
          <w:lang w:val="es-MX"/>
        </w:rPr>
        <w:fldChar w:fldCharType="end"/>
      </w:r>
      <w:r w:rsidRPr="001E6259">
        <w:rPr>
          <w:rFonts w:eastAsia="Times New Roman"/>
          <w:color w:val="000000"/>
          <w:lang w:val="es-MX"/>
        </w:rPr>
        <w:t xml:space="preserve">, Arabidopsis </w:t>
      </w:r>
      <w:r w:rsidRPr="001E6259">
        <w:rPr>
          <w:rFonts w:eastAsia="Times New Roman"/>
          <w:color w:val="000000"/>
          <w:lang w:val="es-MX"/>
        </w:rPr>
        <w:fldChar w:fldCharType="begin" w:fldLock="1"/>
      </w:r>
      <w:r w:rsidRPr="001E6259">
        <w:rPr>
          <w:rFonts w:eastAsia="Times New Roman"/>
          <w:color w:val="000000"/>
          <w:lang w:val="es-MX"/>
        </w:rPr>
        <w:instrText>ADDIN CSL_CITATION {"citationItems":[{"id":"ITEM-1","itemData":{"DOI":"10.1105/tpc.112.102855","abstract":"Long intergenic noncoding RNAs (lincRNAs) transcribed from intergenic regions of yeast and animal genomes play important roles in key biological processes. Yet, plant lincRNAs remain poorly characterized and how lincRNA biogenesis is regulated is unclear. Using a reproducibility-based bioinformatics strategy to analyze 200 Arabidopsis thaliana transcriptome data sets, we identified 13,230 intergenic transcripts of which 6480 can be classified as lincRNAs. Expression of 2708 lincRNAs was detected by RNA sequencing experiments. Transcriptome profiling by custom microarrays revealed that the majority of these lincRNAs are expressed at a level between those of mRNAs and precursors of miRNAs. A subset of lincRNA genes shows organ-specific expression, whereas others are responsive to biotic and/or abiotic stresses. Further analysis of transcriptome data in 11 mutants uncovered SERRATE, CAP BINDING PROTEIN20 (CBP20), and CBP80 as regulators of lincRNA expression and biogenesis. RT-PCR experiments confirmed these three proteins are also needed for splicing of a small group of intron-containing lincRNAs.Glossarypri-miRNAto be definedncRNAnoncoding RNAmiRNAmicroRNAsiRNAsmall interfering RNANATnatural antisense transcriptlincRNAlong intergenic noncoding RNATAIRThe Arabidopsis Information ResourceTUtranscription unitORFopen reading frameTEtransposable elementRCTUrepeat-containing transcription unitGATUgene-associated transcription unitTUCPtranscription units of unknown coding potentialOITUother intergenic transcription unitRepTASreproducibility-based tiling array analysis strategyPCCPearson correlation coefficientGEOGene Expression OmnibusRNA-seqRNA sequencingqRT-PCRquantitative RT-PCReBays ANOVAempirical Bayes analysis of varianceABAabscisic acidCol-0Columbia-0MSMurashige and Skoog","author":[{"dropping-particle":"","family":"Liu","given":"Jun","non-dropping-particle":"","parse-names":false,"suffix":""},{"dropping-particle":"","family":"Jung","given":"Choonkyun","non-dropping-particle":"","parse-names":false,"suffix":""},{"dropping-particle":"","family":"Xu","given":"Jun","non-dropping-particle":"","parse-names":false,"suffix":""},{"dropping-particle":"","family":"Wang","given":"Huan","non-dropping-particle":"","parse-names":false,"suffix":""},{"dropping-particle":"","family":"Deng","given":"Shulin","non-dropping-particle":"","parse-names":false,"suffix":""},{"dropping-particle":"","family":"Bernad","given":"Lucia","non-dropping-particle":"","parse-names":false,"suffix":""},{"dropping-particle":"","family":"Arenas-Huertero","given":"Catalina","non-dropping-particle":"","parse-names":false,"suffix":""},{"dropping-particle":"","family":"Chua","given":"Nam-Hai","non-dropping-particle":"","parse-names":false,"suffix":""}],"container-title":"The Plant Cell","id":"ITEM-1","issue":"11","issued":{"date-parts":[["2012","11","1"]]},"page":"4333 LP  - 4345","title":"Genome-Wide Analysis Uncovers Regulation of Long Intergenic Noncoding RNAs in &amp;lt;em&amp;gt;Arabidopsis&amp;lt;/em&amp;gt;","type":"article-journal","volume":"24"},"uris":["http://www.mendeley.com/documents/?uuid=15147005-2018-4560-b7bc-4ab21f7981bf"]}],"mendeley":{"formattedCitation":"(8)","plainTextFormattedCitation":"(8)","previouslyFormattedCitation":"(8)"},"properties":{"noteIndex":0},"schema":"https://github.com/citation-style-language/schema/raw/master/csl-citation.json"}</w:instrText>
      </w:r>
      <w:r w:rsidRPr="001E6259">
        <w:rPr>
          <w:rFonts w:eastAsia="Times New Roman"/>
          <w:color w:val="000000"/>
          <w:lang w:val="es-MX"/>
        </w:rPr>
        <w:fldChar w:fldCharType="separate"/>
      </w:r>
      <w:r w:rsidRPr="001E6259">
        <w:rPr>
          <w:rFonts w:eastAsia="Times New Roman"/>
          <w:noProof/>
          <w:color w:val="000000"/>
        </w:rPr>
        <w:t>(8)</w:t>
      </w:r>
      <w:r w:rsidRPr="001E6259">
        <w:rPr>
          <w:rFonts w:eastAsia="Times New Roman"/>
          <w:color w:val="000000"/>
          <w:lang w:val="es-MX"/>
        </w:rPr>
        <w:fldChar w:fldCharType="end"/>
      </w:r>
      <w:r w:rsidRPr="001E6259">
        <w:rPr>
          <w:rFonts w:eastAsia="Times New Roman"/>
          <w:color w:val="000000"/>
        </w:rPr>
        <w:t xml:space="preserve"> and U. gibba (this work).</w:t>
      </w:r>
    </w:p>
    <w:p w14:paraId="6AC05878" w14:textId="4B2EB503" w:rsidR="00053607" w:rsidRPr="001E6259" w:rsidRDefault="00053607" w:rsidP="00053607">
      <w:pPr>
        <w:spacing w:after="240" w:line="360" w:lineRule="auto"/>
        <w:rPr>
          <w:rFonts w:eastAsia="Times New Roman"/>
        </w:rPr>
      </w:pPr>
      <w:r w:rsidRPr="001E6259">
        <w:rPr>
          <w:rFonts w:eastAsia="Times New Roman"/>
          <w:b/>
          <w:bCs/>
          <w:noProof/>
          <w:color w:val="000000"/>
        </w:rPr>
        <w:drawing>
          <wp:inline distT="0" distB="0" distL="0" distR="0" wp14:anchorId="59E31E7D" wp14:editId="7915788C">
            <wp:extent cx="4219575" cy="5411895"/>
            <wp:effectExtent l="0" t="0" r="0" b="0"/>
            <wp:docPr id="14" name="Imagen 14" descr="C:\Users\Samsung\Downloads\update_figures_paper\figuras_finales_jpeg\Supp_Figures\Figure 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ownloads\update_figures_paper\figuras_finales_jpeg\Supp_Figures\Figure S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1036" cy="5413769"/>
                    </a:xfrm>
                    <a:prstGeom prst="rect">
                      <a:avLst/>
                    </a:prstGeom>
                    <a:noFill/>
                    <a:ln>
                      <a:noFill/>
                    </a:ln>
                  </pic:spPr>
                </pic:pic>
              </a:graphicData>
            </a:graphic>
          </wp:inline>
        </w:drawing>
      </w:r>
    </w:p>
    <w:p w14:paraId="64EA86B1" w14:textId="47BE9C94" w:rsidR="00053607" w:rsidRDefault="00053607" w:rsidP="00053607">
      <w:pPr>
        <w:spacing w:line="360" w:lineRule="auto"/>
        <w:jc w:val="both"/>
        <w:rPr>
          <w:rFonts w:eastAsia="Times New Roman"/>
          <w:color w:val="000000"/>
        </w:rPr>
      </w:pPr>
      <w:r w:rsidRPr="001E6259">
        <w:rPr>
          <w:rFonts w:eastAsia="Times New Roman"/>
          <w:b/>
          <w:bCs/>
          <w:color w:val="000000"/>
        </w:rPr>
        <w:t>Fig. S4. Small RNAs size distribution in the three libraries of sRNA-Seq.</w:t>
      </w:r>
      <w:r w:rsidRPr="001E6259">
        <w:rPr>
          <w:rFonts w:eastAsia="Times New Roman"/>
          <w:color w:val="000000"/>
        </w:rPr>
        <w:t xml:space="preserve"> The distribution of reads size in the small RNA-Seq libraries in</w:t>
      </w:r>
      <w:r w:rsidRPr="001E6259">
        <w:rPr>
          <w:rFonts w:eastAsia="Times New Roman"/>
          <w:i/>
          <w:iCs/>
          <w:color w:val="000000"/>
        </w:rPr>
        <w:t xml:space="preserve"> U. gibba </w:t>
      </w:r>
      <w:r w:rsidRPr="001E6259">
        <w:rPr>
          <w:rFonts w:eastAsia="Times New Roman"/>
          <w:color w:val="000000"/>
        </w:rPr>
        <w:t xml:space="preserve">are show in different </w:t>
      </w:r>
      <w:proofErr w:type="spellStart"/>
      <w:r w:rsidRPr="001E6259">
        <w:rPr>
          <w:rFonts w:eastAsia="Times New Roman"/>
          <w:color w:val="000000"/>
        </w:rPr>
        <w:t>barplots</w:t>
      </w:r>
      <w:proofErr w:type="spellEnd"/>
      <w:r w:rsidRPr="001E6259">
        <w:rPr>
          <w:rFonts w:eastAsia="Times New Roman"/>
          <w:color w:val="000000"/>
        </w:rPr>
        <w:t>. Blue barplot represents the nutrients library, the red barplot shows the plant hormones mix library and green barplot represents other conditions library. In all barplot, the X axis is for size in the range of 0 to 37-nt and Y axis show the number of reads per each size.</w:t>
      </w:r>
    </w:p>
    <w:p w14:paraId="7689AE35" w14:textId="1AED1C4B" w:rsidR="00053607" w:rsidRDefault="00053607" w:rsidP="00053607">
      <w:pPr>
        <w:spacing w:line="360" w:lineRule="auto"/>
        <w:jc w:val="both"/>
        <w:rPr>
          <w:rFonts w:eastAsia="Times New Roman"/>
          <w:color w:val="000000"/>
        </w:rPr>
      </w:pPr>
    </w:p>
    <w:p w14:paraId="15633899" w14:textId="1A7F06C6" w:rsidR="00053607" w:rsidRDefault="00053607" w:rsidP="00053607">
      <w:pPr>
        <w:spacing w:line="360" w:lineRule="auto"/>
        <w:jc w:val="both"/>
        <w:rPr>
          <w:rFonts w:eastAsia="Times New Roman"/>
          <w:color w:val="000000"/>
        </w:rPr>
      </w:pPr>
    </w:p>
    <w:p w14:paraId="16338E75" w14:textId="52ECDEA4" w:rsidR="00053607" w:rsidRDefault="00053607" w:rsidP="00053607">
      <w:pPr>
        <w:spacing w:line="360" w:lineRule="auto"/>
        <w:jc w:val="both"/>
        <w:rPr>
          <w:rFonts w:eastAsia="Times New Roman"/>
          <w:color w:val="000000"/>
        </w:rPr>
      </w:pPr>
    </w:p>
    <w:p w14:paraId="642625FF" w14:textId="268CA179" w:rsidR="00053607" w:rsidRDefault="00053607" w:rsidP="00053607">
      <w:pPr>
        <w:spacing w:line="360" w:lineRule="auto"/>
        <w:jc w:val="both"/>
        <w:rPr>
          <w:rFonts w:eastAsia="Times New Roman"/>
          <w:color w:val="000000"/>
        </w:rPr>
      </w:pPr>
    </w:p>
    <w:p w14:paraId="263F8C42" w14:textId="77777777" w:rsidR="00053607" w:rsidRDefault="00053607" w:rsidP="00053607">
      <w:pPr>
        <w:spacing w:after="240" w:line="360" w:lineRule="auto"/>
        <w:jc w:val="center"/>
        <w:rPr>
          <w:rFonts w:eastAsia="Times New Roman"/>
        </w:rPr>
      </w:pPr>
    </w:p>
    <w:p w14:paraId="42BF773B" w14:textId="65FC9726" w:rsidR="00053607" w:rsidRPr="001E6259" w:rsidRDefault="00053607" w:rsidP="00053607">
      <w:pPr>
        <w:spacing w:after="240" w:line="360" w:lineRule="auto"/>
        <w:jc w:val="center"/>
        <w:rPr>
          <w:rFonts w:eastAsia="Times New Roman"/>
        </w:rPr>
      </w:pPr>
      <w:r w:rsidRPr="001E6259">
        <w:rPr>
          <w:rFonts w:eastAsia="Times New Roman"/>
          <w:noProof/>
          <w:color w:val="000000"/>
        </w:rPr>
        <w:drawing>
          <wp:inline distT="0" distB="0" distL="0" distR="0" wp14:anchorId="4AED92DE" wp14:editId="17282D83">
            <wp:extent cx="1353351" cy="1475105"/>
            <wp:effectExtent l="0" t="0" r="0" b="0"/>
            <wp:docPr id="13" name="Imagen 13" descr="C:\Users\Samsung\Downloads\update_figures_paper\figuras_finales_jpeg\Supp_Figures\figure 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ownloads\update_figures_paper\figuras_finales_jpeg\Supp_Figures\figure S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6415" cy="1478445"/>
                    </a:xfrm>
                    <a:prstGeom prst="rect">
                      <a:avLst/>
                    </a:prstGeom>
                    <a:noFill/>
                    <a:ln>
                      <a:noFill/>
                    </a:ln>
                  </pic:spPr>
                </pic:pic>
              </a:graphicData>
            </a:graphic>
          </wp:inline>
        </w:drawing>
      </w:r>
    </w:p>
    <w:p w14:paraId="7E8220FD" w14:textId="6509D6D9" w:rsidR="00053607" w:rsidRDefault="00053607" w:rsidP="00053607">
      <w:pPr>
        <w:spacing w:line="360" w:lineRule="auto"/>
        <w:jc w:val="both"/>
        <w:rPr>
          <w:rFonts w:eastAsia="Times New Roman"/>
          <w:color w:val="000000"/>
        </w:rPr>
      </w:pPr>
      <w:r w:rsidRPr="001E6259">
        <w:rPr>
          <w:rFonts w:eastAsia="Times New Roman"/>
          <w:b/>
          <w:bCs/>
          <w:color w:val="000000"/>
        </w:rPr>
        <w:t>Fig. S5. Known and novel miRNAs loci in comparison with miRBase.</w:t>
      </w:r>
      <w:r w:rsidRPr="001E6259">
        <w:rPr>
          <w:rFonts w:eastAsia="Times New Roman"/>
          <w:color w:val="000000"/>
        </w:rPr>
        <w:t xml:space="preserve"> From 80 miRNA loci predicted by ShortStack (17), 78 miRNAs loci were identified with sequence homologs in miRBase database for other organism and only for 2 miRNAs loci evidence not found in other plant. </w:t>
      </w:r>
    </w:p>
    <w:p w14:paraId="45842CEF" w14:textId="7ABC9F18" w:rsidR="00053607" w:rsidRDefault="00053607" w:rsidP="00053607">
      <w:pPr>
        <w:spacing w:line="360" w:lineRule="auto"/>
        <w:jc w:val="both"/>
        <w:rPr>
          <w:rFonts w:eastAsia="Times New Roman"/>
          <w:color w:val="000000"/>
        </w:rPr>
      </w:pPr>
    </w:p>
    <w:p w14:paraId="3130467E" w14:textId="240D2378" w:rsidR="00053607" w:rsidRDefault="00053607" w:rsidP="00053607">
      <w:pPr>
        <w:spacing w:line="360" w:lineRule="auto"/>
        <w:jc w:val="both"/>
        <w:rPr>
          <w:rFonts w:eastAsia="Times New Roman"/>
          <w:color w:val="000000"/>
        </w:rPr>
      </w:pPr>
    </w:p>
    <w:p w14:paraId="27168850" w14:textId="2678371C" w:rsidR="00053607" w:rsidRDefault="00053607" w:rsidP="00053607">
      <w:pPr>
        <w:spacing w:line="360" w:lineRule="auto"/>
        <w:jc w:val="both"/>
        <w:rPr>
          <w:rFonts w:eastAsia="Times New Roman"/>
          <w:color w:val="000000"/>
        </w:rPr>
      </w:pPr>
    </w:p>
    <w:p w14:paraId="6CE7030A" w14:textId="77777777" w:rsidR="00053607" w:rsidRPr="001E6259" w:rsidRDefault="00053607" w:rsidP="00053607">
      <w:pPr>
        <w:spacing w:line="360" w:lineRule="auto"/>
        <w:jc w:val="both"/>
        <w:rPr>
          <w:rFonts w:eastAsia="Times New Roman"/>
        </w:rPr>
      </w:pPr>
    </w:p>
    <w:p w14:paraId="7AECB182" w14:textId="26086192" w:rsidR="00053607" w:rsidRDefault="00053607" w:rsidP="00053607">
      <w:pPr>
        <w:spacing w:line="360" w:lineRule="auto"/>
        <w:jc w:val="both"/>
        <w:rPr>
          <w:rFonts w:eastAsia="Times New Roman"/>
          <w:b/>
          <w:bCs/>
          <w:color w:val="000000"/>
        </w:rPr>
      </w:pPr>
      <w:r w:rsidRPr="001E6259">
        <w:rPr>
          <w:rFonts w:eastAsia="Times New Roman"/>
          <w:noProof/>
          <w:color w:val="000000"/>
        </w:rPr>
        <w:lastRenderedPageBreak/>
        <w:drawing>
          <wp:inline distT="0" distB="0" distL="0" distR="0" wp14:anchorId="2A93DD81" wp14:editId="01B3AD3E">
            <wp:extent cx="5943600" cy="4460077"/>
            <wp:effectExtent l="0" t="0" r="0" b="0"/>
            <wp:docPr id="12" name="Imagen 12" descr="C:\Users\Samsung\Downloads\update_figures_paper\figuras_finales_jpeg\Supp_Figures\Figure 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ownloads\update_figures_paper\figuras_finales_jpeg\Supp_Figures\Figure S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60077"/>
                    </a:xfrm>
                    <a:prstGeom prst="rect">
                      <a:avLst/>
                    </a:prstGeom>
                    <a:noFill/>
                    <a:ln>
                      <a:noFill/>
                    </a:ln>
                  </pic:spPr>
                </pic:pic>
              </a:graphicData>
            </a:graphic>
          </wp:inline>
        </w:drawing>
      </w:r>
    </w:p>
    <w:p w14:paraId="1925FBEB" w14:textId="77777777" w:rsidR="00053607" w:rsidRDefault="00053607" w:rsidP="00053607">
      <w:pPr>
        <w:spacing w:line="360" w:lineRule="auto"/>
        <w:jc w:val="both"/>
        <w:rPr>
          <w:rFonts w:eastAsia="Times New Roman"/>
          <w:b/>
          <w:bCs/>
          <w:color w:val="000000"/>
        </w:rPr>
      </w:pPr>
    </w:p>
    <w:p w14:paraId="285275E9" w14:textId="77777777" w:rsidR="00053607" w:rsidRDefault="00053607" w:rsidP="00053607">
      <w:pPr>
        <w:spacing w:line="360" w:lineRule="auto"/>
        <w:jc w:val="both"/>
        <w:rPr>
          <w:rFonts w:eastAsia="Times New Roman"/>
          <w:b/>
          <w:bCs/>
          <w:color w:val="000000"/>
        </w:rPr>
      </w:pPr>
    </w:p>
    <w:p w14:paraId="464DDFD6" w14:textId="613E265C" w:rsidR="00053607" w:rsidRPr="001E6259" w:rsidRDefault="00053607" w:rsidP="00053607">
      <w:pPr>
        <w:spacing w:line="360" w:lineRule="auto"/>
        <w:jc w:val="both"/>
        <w:rPr>
          <w:rFonts w:eastAsia="Times New Roman"/>
        </w:rPr>
      </w:pPr>
      <w:r w:rsidRPr="001E6259">
        <w:rPr>
          <w:rFonts w:eastAsia="Times New Roman"/>
          <w:b/>
          <w:bCs/>
          <w:color w:val="000000"/>
        </w:rPr>
        <w:t xml:space="preserve">Fig. S6. Proportion of sRNA reads found for each miRNA family in the three sequenced libraries. </w:t>
      </w:r>
      <w:r w:rsidRPr="001E6259">
        <w:rPr>
          <w:rFonts w:eastAsia="Times New Roman"/>
          <w:color w:val="000000"/>
        </w:rPr>
        <w:t xml:space="preserve">The 17 miRNA families found in </w:t>
      </w:r>
      <w:r w:rsidRPr="001E6259">
        <w:rPr>
          <w:rFonts w:eastAsia="Times New Roman"/>
          <w:i/>
          <w:color w:val="000000"/>
        </w:rPr>
        <w:t>U. gibba</w:t>
      </w:r>
      <w:r w:rsidRPr="001E6259">
        <w:rPr>
          <w:rFonts w:eastAsia="Times New Roman"/>
          <w:color w:val="000000"/>
        </w:rPr>
        <w:t xml:space="preserve"> are show in the X axis ordered by descendent proportion of reads (Y axis) the different colors represents the abundance of each miRNA family per library sequenced, nutrients library (red barplot), plant hormone treatments (green barplot) and other conditions library (blue barplot).</w:t>
      </w:r>
    </w:p>
    <w:p w14:paraId="3490E092" w14:textId="77777777" w:rsidR="00053607" w:rsidRPr="001E6259" w:rsidRDefault="00053607" w:rsidP="00053607">
      <w:pPr>
        <w:spacing w:line="360" w:lineRule="auto"/>
        <w:jc w:val="center"/>
        <w:rPr>
          <w:rFonts w:eastAsia="Times New Roman"/>
        </w:rPr>
      </w:pPr>
    </w:p>
    <w:p w14:paraId="350413FC" w14:textId="77777777" w:rsidR="00053607" w:rsidRPr="001E6259" w:rsidRDefault="00053607" w:rsidP="00053607">
      <w:pPr>
        <w:spacing w:after="240" w:line="360" w:lineRule="auto"/>
        <w:rPr>
          <w:rFonts w:eastAsia="Times New Roman"/>
        </w:rPr>
      </w:pPr>
    </w:p>
    <w:p w14:paraId="787F874E" w14:textId="3270A220" w:rsidR="00053607" w:rsidRPr="001E6259" w:rsidRDefault="00053607" w:rsidP="00053607">
      <w:pPr>
        <w:spacing w:line="360" w:lineRule="auto"/>
        <w:jc w:val="center"/>
        <w:rPr>
          <w:rFonts w:eastAsia="Times New Roman"/>
        </w:rPr>
      </w:pPr>
    </w:p>
    <w:p w14:paraId="4F76B698" w14:textId="77777777" w:rsidR="00053607" w:rsidRPr="001E6259" w:rsidRDefault="00053607" w:rsidP="00053607">
      <w:pPr>
        <w:spacing w:line="360" w:lineRule="auto"/>
        <w:rPr>
          <w:rFonts w:eastAsia="Times New Roman"/>
        </w:rPr>
      </w:pPr>
    </w:p>
    <w:p w14:paraId="1847B76B" w14:textId="77777777" w:rsidR="00053607" w:rsidRPr="001E6259" w:rsidRDefault="00053607" w:rsidP="00053607">
      <w:pPr>
        <w:spacing w:line="360" w:lineRule="auto"/>
        <w:rPr>
          <w:rFonts w:eastAsia="Times New Roman"/>
        </w:rPr>
      </w:pPr>
    </w:p>
    <w:p w14:paraId="12544151" w14:textId="77777777" w:rsidR="00053607" w:rsidRPr="001E6259" w:rsidRDefault="00053607" w:rsidP="00053607">
      <w:pPr>
        <w:spacing w:line="360" w:lineRule="auto"/>
        <w:rPr>
          <w:rFonts w:eastAsia="Times New Roman"/>
        </w:rPr>
      </w:pPr>
    </w:p>
    <w:p w14:paraId="39CCBA36" w14:textId="77777777" w:rsidR="00053607" w:rsidRPr="001E6259" w:rsidRDefault="00053607" w:rsidP="00053607">
      <w:pPr>
        <w:spacing w:line="360" w:lineRule="auto"/>
        <w:rPr>
          <w:rFonts w:eastAsia="Times New Roman"/>
        </w:rPr>
      </w:pPr>
    </w:p>
    <w:p w14:paraId="7E10834E" w14:textId="77777777" w:rsidR="00053607" w:rsidRPr="001E6259" w:rsidRDefault="00053607" w:rsidP="00053607">
      <w:pPr>
        <w:spacing w:line="360" w:lineRule="auto"/>
        <w:jc w:val="center"/>
        <w:rPr>
          <w:rFonts w:eastAsia="Times New Roman"/>
        </w:rPr>
      </w:pPr>
      <w:r w:rsidRPr="001E6259">
        <w:rPr>
          <w:rFonts w:eastAsia="Times New Roman"/>
          <w:noProof/>
          <w:color w:val="000000"/>
        </w:rPr>
        <w:drawing>
          <wp:inline distT="0" distB="0" distL="0" distR="0" wp14:anchorId="4197ABA1" wp14:editId="4865D424">
            <wp:extent cx="3487479" cy="2196659"/>
            <wp:effectExtent l="0" t="0" r="0" b="0"/>
            <wp:docPr id="11" name="Imagen 11" descr="C:\Users\Samsung\Downloads\update_figures_paper\figuras_finales_jpeg\Supp_Figures\Figure 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ownloads\update_figures_paper\figuras_finales_jpeg\Supp_Figures\Figure S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8930" cy="2203872"/>
                    </a:xfrm>
                    <a:prstGeom prst="rect">
                      <a:avLst/>
                    </a:prstGeom>
                    <a:noFill/>
                    <a:ln>
                      <a:noFill/>
                    </a:ln>
                  </pic:spPr>
                </pic:pic>
              </a:graphicData>
            </a:graphic>
          </wp:inline>
        </w:drawing>
      </w:r>
    </w:p>
    <w:p w14:paraId="30D9FBDC" w14:textId="058846AB" w:rsidR="00053607" w:rsidRDefault="00053607" w:rsidP="00053607">
      <w:pPr>
        <w:spacing w:line="360" w:lineRule="auto"/>
        <w:jc w:val="both"/>
        <w:rPr>
          <w:rFonts w:eastAsia="Times New Roman"/>
          <w:color w:val="000000"/>
        </w:rPr>
      </w:pPr>
      <w:r w:rsidRPr="001E6259">
        <w:rPr>
          <w:rFonts w:eastAsia="Times New Roman"/>
          <w:b/>
          <w:bCs/>
          <w:color w:val="000000"/>
        </w:rPr>
        <w:t xml:space="preserve">Fig. S7. Annotation of sRNAs loci. </w:t>
      </w:r>
      <w:r w:rsidRPr="001E6259">
        <w:rPr>
          <w:rFonts w:eastAsia="Times New Roman"/>
          <w:color w:val="000000"/>
        </w:rPr>
        <w:t>The distribution of a range between 20-nt to 24-nt in size for sRNA loci compared with their respective genome annotation. X axis represents the sRNA sizes in nucleotides, the different colors show the genome annotation, and the stacked plot shows the percentage corresponding for each group.</w:t>
      </w:r>
    </w:p>
    <w:p w14:paraId="580BD394" w14:textId="77777777" w:rsidR="00053607" w:rsidRPr="001E6259" w:rsidRDefault="00053607" w:rsidP="00053607">
      <w:pPr>
        <w:spacing w:line="360" w:lineRule="auto"/>
        <w:jc w:val="both"/>
        <w:rPr>
          <w:rFonts w:eastAsia="Times New Roman"/>
        </w:rPr>
      </w:pPr>
    </w:p>
    <w:p w14:paraId="5A8A316F" w14:textId="5E8B2516" w:rsidR="00053607" w:rsidRPr="001E6259" w:rsidRDefault="00053607" w:rsidP="00053607">
      <w:pPr>
        <w:spacing w:line="360" w:lineRule="auto"/>
        <w:rPr>
          <w:rFonts w:eastAsia="Times New Roman"/>
        </w:rPr>
      </w:pPr>
      <w:r w:rsidRPr="001E6259">
        <w:rPr>
          <w:rFonts w:eastAsia="Times New Roman"/>
          <w:noProof/>
        </w:rPr>
        <w:drawing>
          <wp:inline distT="0" distB="0" distL="0" distR="0" wp14:anchorId="1B1AA106" wp14:editId="67A02976">
            <wp:extent cx="2943202" cy="2748864"/>
            <wp:effectExtent l="0" t="0" r="0" b="0"/>
            <wp:docPr id="18" name="Imagen 18" descr="C:\Users\Samsung\Downloads\update_figures_paper\figuras_finales_jpeg\Supp_Figures\Fig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msung\Downloads\update_figures_paper\figuras_finales_jpeg\Supp_Figures\FigS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307" cy="2751764"/>
                    </a:xfrm>
                    <a:prstGeom prst="rect">
                      <a:avLst/>
                    </a:prstGeom>
                    <a:noFill/>
                    <a:ln>
                      <a:noFill/>
                    </a:ln>
                  </pic:spPr>
                </pic:pic>
              </a:graphicData>
            </a:graphic>
          </wp:inline>
        </w:drawing>
      </w:r>
    </w:p>
    <w:p w14:paraId="029750F6" w14:textId="77777777" w:rsidR="00053607" w:rsidRPr="001E6259" w:rsidRDefault="00053607" w:rsidP="00053607">
      <w:pPr>
        <w:spacing w:line="360" w:lineRule="auto"/>
        <w:jc w:val="center"/>
        <w:rPr>
          <w:rFonts w:eastAsia="Times New Roman"/>
        </w:rPr>
      </w:pPr>
    </w:p>
    <w:p w14:paraId="0209947C" w14:textId="77777777" w:rsidR="00053607" w:rsidRPr="001E6259" w:rsidRDefault="00053607" w:rsidP="00053607">
      <w:pPr>
        <w:spacing w:line="360" w:lineRule="auto"/>
        <w:jc w:val="both"/>
        <w:rPr>
          <w:rFonts w:eastAsia="Times New Roman"/>
        </w:rPr>
      </w:pPr>
      <w:r w:rsidRPr="001E6259">
        <w:rPr>
          <w:rFonts w:eastAsia="Times New Roman"/>
        </w:rPr>
        <w:br/>
      </w:r>
      <w:r w:rsidRPr="001E6259">
        <w:rPr>
          <w:rFonts w:eastAsia="Times New Roman"/>
          <w:b/>
          <w:bCs/>
          <w:color w:val="000000"/>
        </w:rPr>
        <w:t xml:space="preserve">Fig. S8. Distribution of Polymerase (IV and V) holoenzymes in plants. </w:t>
      </w:r>
      <w:r w:rsidRPr="001E6259">
        <w:rPr>
          <w:rFonts w:eastAsia="Times New Roman"/>
          <w:color w:val="000000"/>
        </w:rPr>
        <w:t>An illustrative cladogram</w:t>
      </w:r>
      <w:r w:rsidRPr="001E6259">
        <w:rPr>
          <w:rFonts w:eastAsia="Times New Roman"/>
          <w:b/>
          <w:bCs/>
          <w:color w:val="000000"/>
        </w:rPr>
        <w:t xml:space="preserve"> </w:t>
      </w:r>
      <w:r w:rsidRPr="001E6259">
        <w:rPr>
          <w:rFonts w:eastAsia="Times New Roman"/>
          <w:color w:val="000000"/>
        </w:rPr>
        <w:t xml:space="preserve">with representative plants in each clade is shown and taken from a recent report (19). The modified figure including </w:t>
      </w:r>
      <w:r w:rsidRPr="001E6259">
        <w:rPr>
          <w:rFonts w:eastAsia="Times New Roman"/>
          <w:i/>
          <w:iCs/>
          <w:color w:val="000000"/>
        </w:rPr>
        <w:t>U. gibba</w:t>
      </w:r>
      <w:r w:rsidRPr="001E6259">
        <w:rPr>
          <w:rFonts w:eastAsia="Times New Roman"/>
          <w:color w:val="000000"/>
        </w:rPr>
        <w:t xml:space="preserve"> (an angiosperm) show the presence (blue square)/absence (white square) of the different subunits of polymerases in plants.</w:t>
      </w:r>
    </w:p>
    <w:p w14:paraId="4492057B" w14:textId="3913742E" w:rsidR="00053607" w:rsidRPr="001E6259" w:rsidRDefault="00053607" w:rsidP="00053607">
      <w:pPr>
        <w:spacing w:after="240" w:line="360" w:lineRule="auto"/>
        <w:rPr>
          <w:rFonts w:eastAsia="Times New Roman"/>
        </w:rPr>
      </w:pPr>
      <w:r w:rsidRPr="001E6259">
        <w:rPr>
          <w:rFonts w:eastAsia="Times New Roman"/>
          <w:noProof/>
        </w:rPr>
        <w:lastRenderedPageBreak/>
        <w:drawing>
          <wp:inline distT="0" distB="0" distL="0" distR="0" wp14:anchorId="3A5CD404" wp14:editId="214788DE">
            <wp:extent cx="4175708" cy="5245045"/>
            <wp:effectExtent l="0" t="0" r="0" b="0"/>
            <wp:docPr id="19" name="Imagen 19" descr="C:\Users\Samsung\Downloads\update_figures_paper\figuras_finales_jpeg\Supp_Figures\Fig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amsung\Downloads\update_figures_paper\figuras_finales_jpeg\Supp_Figures\FigS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2247" cy="5253258"/>
                    </a:xfrm>
                    <a:prstGeom prst="rect">
                      <a:avLst/>
                    </a:prstGeom>
                    <a:noFill/>
                    <a:ln>
                      <a:noFill/>
                    </a:ln>
                  </pic:spPr>
                </pic:pic>
              </a:graphicData>
            </a:graphic>
          </wp:inline>
        </w:drawing>
      </w:r>
    </w:p>
    <w:p w14:paraId="62C8C2FF" w14:textId="7E8CD59B" w:rsidR="00053607" w:rsidRPr="001E6259" w:rsidRDefault="00053607" w:rsidP="00053607">
      <w:pPr>
        <w:spacing w:line="360" w:lineRule="auto"/>
        <w:jc w:val="both"/>
        <w:rPr>
          <w:rFonts w:eastAsia="Times New Roman"/>
        </w:rPr>
      </w:pPr>
      <w:r w:rsidRPr="001E6259">
        <w:rPr>
          <w:rFonts w:eastAsia="Times New Roman"/>
          <w:b/>
        </w:rPr>
        <w:t xml:space="preserve">Fig. S9. NRPD4 phylogenetic tree. </w:t>
      </w:r>
      <w:r w:rsidRPr="001E6259">
        <w:rPr>
          <w:rFonts w:eastAsia="Times New Roman"/>
          <w:color w:val="000000"/>
        </w:rPr>
        <w:t>Maximum likelihood tree for NRDP4 homolog genes in some angiosperms (</w:t>
      </w:r>
      <w:proofErr w:type="spellStart"/>
      <w:r w:rsidRPr="001E6259">
        <w:rPr>
          <w:rFonts w:eastAsia="Times New Roman"/>
          <w:color w:val="000000"/>
        </w:rPr>
        <w:t>Amborella</w:t>
      </w:r>
      <w:proofErr w:type="spellEnd"/>
      <w:r w:rsidRPr="001E6259">
        <w:rPr>
          <w:rFonts w:eastAsia="Times New Roman"/>
          <w:color w:val="000000"/>
        </w:rPr>
        <w:t xml:space="preserve">, avocado, nelumbo, banana, pineapple, maize, rice, cacao, bean </w:t>
      </w:r>
      <w:proofErr w:type="spellStart"/>
      <w:r w:rsidRPr="001E6259">
        <w:rPr>
          <w:rFonts w:eastAsia="Times New Roman"/>
          <w:color w:val="000000"/>
        </w:rPr>
        <w:t>ricinus</w:t>
      </w:r>
      <w:proofErr w:type="spellEnd"/>
      <w:r w:rsidRPr="001E6259">
        <w:rPr>
          <w:rFonts w:eastAsia="Times New Roman"/>
          <w:color w:val="000000"/>
        </w:rPr>
        <w:t xml:space="preserve">, poplar, peach, sundew, quinoa, grape, </w:t>
      </w:r>
      <w:proofErr w:type="spellStart"/>
      <w:r w:rsidRPr="001E6259">
        <w:rPr>
          <w:rFonts w:eastAsia="Times New Roman"/>
          <w:color w:val="000000"/>
        </w:rPr>
        <w:t>Tarenaya</w:t>
      </w:r>
      <w:proofErr w:type="spellEnd"/>
      <w:r w:rsidRPr="001E6259">
        <w:rPr>
          <w:rFonts w:eastAsia="Times New Roman"/>
          <w:color w:val="000000"/>
        </w:rPr>
        <w:t xml:space="preserve">, Cardamine, </w:t>
      </w:r>
      <w:r w:rsidRPr="001E6259">
        <w:rPr>
          <w:rFonts w:eastAsia="Times New Roman"/>
          <w:i/>
          <w:color w:val="000000"/>
        </w:rPr>
        <w:t>A. thaliana</w:t>
      </w:r>
      <w:r w:rsidRPr="001E6259">
        <w:rPr>
          <w:rFonts w:eastAsia="Times New Roman"/>
          <w:color w:val="000000"/>
        </w:rPr>
        <w:t xml:space="preserve">, </w:t>
      </w:r>
      <w:r w:rsidRPr="001E6259">
        <w:rPr>
          <w:rFonts w:eastAsia="Times New Roman"/>
          <w:i/>
          <w:color w:val="000000"/>
        </w:rPr>
        <w:t xml:space="preserve">A. </w:t>
      </w:r>
      <w:proofErr w:type="spellStart"/>
      <w:r w:rsidRPr="001E6259">
        <w:rPr>
          <w:rFonts w:eastAsia="Times New Roman"/>
          <w:i/>
          <w:color w:val="000000"/>
        </w:rPr>
        <w:t>lyrata</w:t>
      </w:r>
      <w:proofErr w:type="spellEnd"/>
      <w:r w:rsidRPr="001E6259">
        <w:rPr>
          <w:rFonts w:eastAsia="Times New Roman"/>
          <w:color w:val="000000"/>
        </w:rPr>
        <w:t xml:space="preserve">, tomato, coffee, Utricularia, Mimulus, and mint). The red rectangle shows NRPD4 for </w:t>
      </w:r>
      <w:r w:rsidRPr="001E6259">
        <w:rPr>
          <w:rFonts w:eastAsia="Times New Roman"/>
          <w:i/>
          <w:color w:val="000000"/>
        </w:rPr>
        <w:t>A. thaliana</w:t>
      </w:r>
      <w:r w:rsidRPr="001E6259">
        <w:rPr>
          <w:rFonts w:eastAsia="Times New Roman"/>
          <w:color w:val="000000"/>
        </w:rPr>
        <w:t xml:space="preserve"> and other members of </w:t>
      </w:r>
      <w:proofErr w:type="spellStart"/>
      <w:r w:rsidRPr="001E6259">
        <w:rPr>
          <w:rFonts w:eastAsia="Times New Roman"/>
          <w:color w:val="000000"/>
        </w:rPr>
        <w:t>Brasicaceae</w:t>
      </w:r>
      <w:proofErr w:type="spellEnd"/>
      <w:r w:rsidRPr="001E6259">
        <w:rPr>
          <w:rFonts w:eastAsia="Times New Roman"/>
          <w:color w:val="000000"/>
        </w:rPr>
        <w:t xml:space="preserve"> where </w:t>
      </w:r>
      <w:r w:rsidRPr="001E6259">
        <w:rPr>
          <w:rFonts w:eastAsia="Times New Roman"/>
          <w:i/>
          <w:color w:val="000000"/>
        </w:rPr>
        <w:t>A. thaliana</w:t>
      </w:r>
      <w:r w:rsidRPr="001E6259">
        <w:rPr>
          <w:rFonts w:eastAsia="Times New Roman"/>
          <w:color w:val="000000"/>
        </w:rPr>
        <w:t xml:space="preserve"> is divergent even </w:t>
      </w:r>
      <w:r w:rsidRPr="001E6259">
        <w:rPr>
          <w:rFonts w:eastAsia="Times New Roman"/>
          <w:i/>
          <w:color w:val="000000"/>
        </w:rPr>
        <w:t xml:space="preserve">A. </w:t>
      </w:r>
      <w:proofErr w:type="spellStart"/>
      <w:r w:rsidRPr="001E6259">
        <w:rPr>
          <w:rFonts w:eastAsia="Times New Roman"/>
          <w:i/>
          <w:color w:val="000000"/>
        </w:rPr>
        <w:t>lyrata</w:t>
      </w:r>
      <w:proofErr w:type="spellEnd"/>
      <w:r w:rsidRPr="001E6259">
        <w:rPr>
          <w:rFonts w:eastAsia="Times New Roman"/>
          <w:color w:val="000000"/>
        </w:rPr>
        <w:t>. Numbers beside nodes are bootstrap support values showing confidence.</w:t>
      </w:r>
    </w:p>
    <w:p w14:paraId="06B6E944" w14:textId="7AEEDFFA" w:rsidR="00053607" w:rsidRPr="001E6259" w:rsidRDefault="00053607" w:rsidP="00053607">
      <w:pPr>
        <w:spacing w:line="360" w:lineRule="auto"/>
        <w:jc w:val="center"/>
        <w:rPr>
          <w:rFonts w:eastAsia="Times New Roman"/>
        </w:rPr>
      </w:pPr>
    </w:p>
    <w:p w14:paraId="321F88BB" w14:textId="77777777" w:rsidR="00053607" w:rsidRPr="001E6259" w:rsidRDefault="00053607" w:rsidP="00053607">
      <w:pPr>
        <w:spacing w:after="240" w:line="360" w:lineRule="auto"/>
        <w:rPr>
          <w:rFonts w:eastAsia="Times New Roman"/>
        </w:rPr>
      </w:pPr>
    </w:p>
    <w:p w14:paraId="7ECD3C28" w14:textId="77777777" w:rsidR="00053607" w:rsidRPr="001E6259" w:rsidRDefault="00053607" w:rsidP="00053607">
      <w:pPr>
        <w:spacing w:line="360" w:lineRule="auto"/>
        <w:jc w:val="both"/>
        <w:rPr>
          <w:rFonts w:eastAsia="Times New Roman"/>
          <w:b/>
          <w:bCs/>
          <w:color w:val="000000"/>
        </w:rPr>
      </w:pPr>
    </w:p>
    <w:p w14:paraId="2289BCA6" w14:textId="77777777" w:rsidR="00053607" w:rsidRPr="001E6259" w:rsidRDefault="00053607" w:rsidP="00053607">
      <w:pPr>
        <w:spacing w:line="360" w:lineRule="auto"/>
        <w:jc w:val="both"/>
        <w:rPr>
          <w:rFonts w:eastAsia="Times New Roman"/>
          <w:b/>
          <w:bCs/>
          <w:color w:val="000000"/>
        </w:rPr>
      </w:pPr>
    </w:p>
    <w:p w14:paraId="1916F85C" w14:textId="77777777" w:rsidR="00053607" w:rsidRPr="001E6259" w:rsidRDefault="00053607" w:rsidP="00053607">
      <w:pPr>
        <w:spacing w:line="360" w:lineRule="auto"/>
        <w:jc w:val="both"/>
        <w:rPr>
          <w:rFonts w:eastAsia="Times New Roman"/>
          <w:b/>
          <w:bCs/>
          <w:color w:val="000000"/>
        </w:rPr>
      </w:pPr>
    </w:p>
    <w:p w14:paraId="2142A2E9" w14:textId="77777777" w:rsidR="00053607" w:rsidRPr="001E6259" w:rsidRDefault="00053607" w:rsidP="00053607">
      <w:pPr>
        <w:spacing w:line="360" w:lineRule="auto"/>
        <w:jc w:val="both"/>
        <w:rPr>
          <w:rFonts w:eastAsia="Times New Roman"/>
          <w:b/>
          <w:bCs/>
          <w:color w:val="000000"/>
        </w:rPr>
      </w:pPr>
    </w:p>
    <w:p w14:paraId="3E129D04" w14:textId="77777777" w:rsidR="00053607" w:rsidRPr="001E6259" w:rsidRDefault="00053607" w:rsidP="00053607">
      <w:pPr>
        <w:spacing w:line="360" w:lineRule="auto"/>
        <w:jc w:val="both"/>
        <w:rPr>
          <w:rFonts w:eastAsia="Times New Roman"/>
          <w:b/>
          <w:bCs/>
          <w:color w:val="000000"/>
        </w:rPr>
      </w:pPr>
    </w:p>
    <w:p w14:paraId="6B1E6A02" w14:textId="77777777" w:rsidR="00053607" w:rsidRPr="001E6259" w:rsidRDefault="00053607" w:rsidP="00053607">
      <w:pPr>
        <w:spacing w:line="360" w:lineRule="auto"/>
        <w:jc w:val="both"/>
        <w:rPr>
          <w:rFonts w:eastAsia="Times New Roman"/>
          <w:b/>
          <w:bCs/>
          <w:color w:val="000000"/>
        </w:rPr>
      </w:pPr>
      <w:r w:rsidRPr="001E6259">
        <w:rPr>
          <w:rFonts w:eastAsia="Times New Roman"/>
          <w:b/>
          <w:bCs/>
          <w:noProof/>
          <w:color w:val="000000"/>
        </w:rPr>
        <w:drawing>
          <wp:inline distT="0" distB="0" distL="0" distR="0" wp14:anchorId="07B4B0A5" wp14:editId="39E9691B">
            <wp:extent cx="5943600" cy="1931557"/>
            <wp:effectExtent l="0" t="0" r="0" b="0"/>
            <wp:docPr id="20" name="Imagen 20" descr="C:\Users\Samsung\Downloads\update_figures_paper\figuras_finales_jpeg\Supp_Figures\Fig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msung\Downloads\update_figures_paper\figuras_finales_jpeg\Supp_Figures\FigS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31557"/>
                    </a:xfrm>
                    <a:prstGeom prst="rect">
                      <a:avLst/>
                    </a:prstGeom>
                    <a:noFill/>
                    <a:ln>
                      <a:noFill/>
                    </a:ln>
                  </pic:spPr>
                </pic:pic>
              </a:graphicData>
            </a:graphic>
          </wp:inline>
        </w:drawing>
      </w:r>
    </w:p>
    <w:p w14:paraId="08D5BA7A" w14:textId="77777777" w:rsidR="00053607" w:rsidRPr="001E6259" w:rsidRDefault="00053607" w:rsidP="00053607">
      <w:pPr>
        <w:spacing w:line="360" w:lineRule="auto"/>
        <w:jc w:val="both"/>
        <w:rPr>
          <w:rFonts w:eastAsia="Times New Roman"/>
          <w:b/>
          <w:bCs/>
          <w:color w:val="000000"/>
        </w:rPr>
      </w:pPr>
    </w:p>
    <w:p w14:paraId="302CD59F" w14:textId="77777777" w:rsidR="00053607" w:rsidRPr="001E6259" w:rsidRDefault="00053607" w:rsidP="00053607">
      <w:pPr>
        <w:spacing w:line="360" w:lineRule="auto"/>
        <w:jc w:val="both"/>
        <w:rPr>
          <w:rFonts w:eastAsia="Times New Roman"/>
          <w:bCs/>
          <w:color w:val="000000"/>
        </w:rPr>
      </w:pPr>
      <w:r w:rsidRPr="001E6259">
        <w:rPr>
          <w:rFonts w:eastAsia="Times New Roman"/>
          <w:b/>
          <w:bCs/>
          <w:color w:val="000000"/>
        </w:rPr>
        <w:t xml:space="preserve">Fig. S10. AGO5 clade homolog identification. </w:t>
      </w:r>
      <w:r w:rsidRPr="001E6259">
        <w:rPr>
          <w:rFonts w:eastAsia="Times New Roman"/>
          <w:bCs/>
          <w:color w:val="000000"/>
        </w:rPr>
        <w:t xml:space="preserve">Phylogenetic tree representing the </w:t>
      </w:r>
      <w:r w:rsidRPr="001E6259">
        <w:rPr>
          <w:rFonts w:eastAsia="Times New Roman"/>
          <w:bCs/>
          <w:i/>
          <w:color w:val="000000"/>
        </w:rPr>
        <w:t>U. gibba</w:t>
      </w:r>
      <w:r w:rsidRPr="001E6259">
        <w:rPr>
          <w:rFonts w:eastAsia="Times New Roman"/>
          <w:bCs/>
          <w:color w:val="000000"/>
        </w:rPr>
        <w:t xml:space="preserve"> phylome in the Phylome DB to find the homolog of AGO5 protein.</w:t>
      </w:r>
    </w:p>
    <w:p w14:paraId="0A5F9598" w14:textId="77777777" w:rsidR="00053607" w:rsidRPr="001E6259" w:rsidRDefault="00053607" w:rsidP="00053607">
      <w:pPr>
        <w:spacing w:line="360" w:lineRule="auto"/>
        <w:jc w:val="both"/>
        <w:rPr>
          <w:rFonts w:eastAsia="Times New Roman"/>
          <w:b/>
          <w:bCs/>
          <w:color w:val="000000"/>
        </w:rPr>
      </w:pPr>
    </w:p>
    <w:p w14:paraId="6A7B4B96" w14:textId="77777777" w:rsidR="00053607" w:rsidRDefault="00053607" w:rsidP="00053607">
      <w:pPr>
        <w:spacing w:line="360" w:lineRule="auto"/>
        <w:jc w:val="center"/>
        <w:rPr>
          <w:rFonts w:eastAsia="Times New Roman"/>
          <w:b/>
          <w:bCs/>
          <w:color w:val="000000"/>
        </w:rPr>
      </w:pPr>
    </w:p>
    <w:p w14:paraId="1A5982AD" w14:textId="6F82080A" w:rsidR="00053607" w:rsidRPr="001E6259" w:rsidRDefault="00053607" w:rsidP="00053607">
      <w:pPr>
        <w:spacing w:line="360" w:lineRule="auto"/>
        <w:jc w:val="center"/>
        <w:rPr>
          <w:rFonts w:eastAsia="Times New Roman"/>
          <w:b/>
          <w:bCs/>
          <w:color w:val="000000"/>
        </w:rPr>
      </w:pPr>
      <w:r w:rsidRPr="001E6259">
        <w:rPr>
          <w:noProof/>
        </w:rPr>
        <w:drawing>
          <wp:inline distT="0" distB="0" distL="0" distR="0" wp14:anchorId="4A720F5E" wp14:editId="00438F9B">
            <wp:extent cx="3934047" cy="30757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2409" cy="3082324"/>
                    </a:xfrm>
                    <a:prstGeom prst="rect">
                      <a:avLst/>
                    </a:prstGeom>
                    <a:noFill/>
                    <a:ln>
                      <a:noFill/>
                    </a:ln>
                  </pic:spPr>
                </pic:pic>
              </a:graphicData>
            </a:graphic>
          </wp:inline>
        </w:drawing>
      </w:r>
    </w:p>
    <w:p w14:paraId="3AE8E475" w14:textId="77777777" w:rsidR="00053607" w:rsidRPr="001E6259" w:rsidRDefault="00053607" w:rsidP="00053607">
      <w:pPr>
        <w:spacing w:line="360" w:lineRule="auto"/>
        <w:jc w:val="both"/>
        <w:rPr>
          <w:rFonts w:eastAsia="Times New Roman"/>
          <w:bCs/>
          <w:color w:val="000000"/>
        </w:rPr>
      </w:pPr>
      <w:r w:rsidRPr="001E6259">
        <w:rPr>
          <w:rFonts w:eastAsia="Times New Roman"/>
          <w:b/>
          <w:bCs/>
          <w:color w:val="000000"/>
        </w:rPr>
        <w:t xml:space="preserve">Fig. S11. AGO2/3/7 clade in the </w:t>
      </w:r>
      <w:r w:rsidRPr="001E6259">
        <w:rPr>
          <w:rFonts w:eastAsia="Times New Roman"/>
          <w:b/>
          <w:bCs/>
          <w:i/>
          <w:color w:val="000000"/>
        </w:rPr>
        <w:t>U. gibba</w:t>
      </w:r>
      <w:r w:rsidRPr="001E6259">
        <w:rPr>
          <w:rFonts w:eastAsia="Times New Roman"/>
          <w:b/>
          <w:bCs/>
          <w:color w:val="000000"/>
        </w:rPr>
        <w:t xml:space="preserve"> phylome. (a) </w:t>
      </w:r>
      <w:r w:rsidRPr="001E6259">
        <w:rPr>
          <w:rFonts w:eastAsia="Times New Roman"/>
          <w:bCs/>
          <w:color w:val="000000"/>
        </w:rPr>
        <w:t xml:space="preserve">Phylogenetic tree representing the evolutionary history of AGO2, AGO3. </w:t>
      </w:r>
      <w:r w:rsidRPr="001E6259">
        <w:rPr>
          <w:rFonts w:eastAsia="Times New Roman"/>
          <w:b/>
          <w:color w:val="000000"/>
        </w:rPr>
        <w:t>(b)</w:t>
      </w:r>
      <w:r w:rsidRPr="001E6259">
        <w:rPr>
          <w:rFonts w:eastAsia="Times New Roman"/>
          <w:bCs/>
          <w:color w:val="000000"/>
        </w:rPr>
        <w:t xml:space="preserve"> Phylogenetic tree representing the evolutionary history of AGO7.</w:t>
      </w:r>
    </w:p>
    <w:p w14:paraId="76F6F5AB" w14:textId="77777777" w:rsidR="00053607" w:rsidRPr="001E6259" w:rsidRDefault="00053607" w:rsidP="00053607">
      <w:pPr>
        <w:spacing w:line="360" w:lineRule="auto"/>
        <w:jc w:val="center"/>
        <w:rPr>
          <w:rFonts w:eastAsia="Times New Roman"/>
          <w:b/>
          <w:bCs/>
          <w:color w:val="000000"/>
        </w:rPr>
      </w:pPr>
    </w:p>
    <w:p w14:paraId="0DCA912E" w14:textId="77777777" w:rsidR="00053607" w:rsidRPr="001E6259" w:rsidRDefault="00053607" w:rsidP="00053607">
      <w:pPr>
        <w:spacing w:line="360" w:lineRule="auto"/>
        <w:jc w:val="both"/>
        <w:rPr>
          <w:rFonts w:eastAsia="Times New Roman"/>
          <w:bCs/>
          <w:color w:val="000000"/>
        </w:rPr>
      </w:pPr>
    </w:p>
    <w:p w14:paraId="2F304CE8" w14:textId="01A6CE4F" w:rsidR="00053607" w:rsidRPr="001E6259" w:rsidRDefault="00053607" w:rsidP="00053607">
      <w:pPr>
        <w:spacing w:line="360" w:lineRule="auto"/>
        <w:jc w:val="center"/>
        <w:rPr>
          <w:rFonts w:eastAsia="Times New Roman"/>
          <w:bCs/>
          <w:color w:val="000000"/>
        </w:rPr>
      </w:pPr>
      <w:r w:rsidRPr="001E6259">
        <w:rPr>
          <w:noProof/>
        </w:rPr>
        <w:drawing>
          <wp:inline distT="0" distB="0" distL="0" distR="0" wp14:anchorId="4E698652" wp14:editId="0DC60B29">
            <wp:extent cx="4443669" cy="3138579"/>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3400" cy="3145452"/>
                    </a:xfrm>
                    <a:prstGeom prst="rect">
                      <a:avLst/>
                    </a:prstGeom>
                    <a:noFill/>
                    <a:ln>
                      <a:noFill/>
                    </a:ln>
                  </pic:spPr>
                </pic:pic>
              </a:graphicData>
            </a:graphic>
          </wp:inline>
        </w:drawing>
      </w:r>
    </w:p>
    <w:p w14:paraId="58B29995" w14:textId="77777777" w:rsidR="00053607" w:rsidRPr="001E6259" w:rsidRDefault="00053607" w:rsidP="00053607">
      <w:pPr>
        <w:spacing w:line="360" w:lineRule="auto"/>
        <w:jc w:val="both"/>
        <w:rPr>
          <w:rFonts w:eastAsia="Times New Roman"/>
          <w:bCs/>
          <w:color w:val="000000"/>
        </w:rPr>
      </w:pPr>
      <w:r w:rsidRPr="001E6259">
        <w:rPr>
          <w:rFonts w:eastAsia="Times New Roman"/>
          <w:b/>
          <w:bCs/>
          <w:color w:val="000000"/>
        </w:rPr>
        <w:t xml:space="preserve">Fig. S12. AGO6/4/8/9 clade in the </w:t>
      </w:r>
      <w:r w:rsidRPr="001E6259">
        <w:rPr>
          <w:rFonts w:eastAsia="Times New Roman"/>
          <w:b/>
          <w:bCs/>
          <w:i/>
          <w:color w:val="000000"/>
        </w:rPr>
        <w:t>U. gibba</w:t>
      </w:r>
      <w:r w:rsidRPr="001E6259">
        <w:rPr>
          <w:rFonts w:eastAsia="Times New Roman"/>
          <w:b/>
          <w:bCs/>
          <w:color w:val="000000"/>
        </w:rPr>
        <w:t xml:space="preserve"> phylome</w:t>
      </w:r>
      <w:r w:rsidRPr="001E6259">
        <w:rPr>
          <w:rFonts w:eastAsia="Times New Roman"/>
          <w:bCs/>
          <w:color w:val="000000"/>
        </w:rPr>
        <w:t xml:space="preserve">. </w:t>
      </w:r>
      <w:r w:rsidRPr="001E6259">
        <w:rPr>
          <w:rFonts w:eastAsia="Times New Roman"/>
          <w:b/>
          <w:bCs/>
          <w:color w:val="000000"/>
        </w:rPr>
        <w:t>A</w:t>
      </w:r>
      <w:r w:rsidRPr="001E6259">
        <w:rPr>
          <w:rFonts w:eastAsia="Times New Roman"/>
          <w:bCs/>
          <w:color w:val="000000"/>
        </w:rPr>
        <w:t xml:space="preserve"> Phylogenetic tree representing the evolutionary history in AGO4, AGO8, AGO9 in Phylome DB and </w:t>
      </w:r>
      <w:r w:rsidRPr="001E6259">
        <w:rPr>
          <w:rFonts w:eastAsia="Times New Roman"/>
          <w:b/>
          <w:bCs/>
          <w:color w:val="000000"/>
        </w:rPr>
        <w:t xml:space="preserve">B </w:t>
      </w:r>
      <w:r w:rsidRPr="001E6259">
        <w:rPr>
          <w:rFonts w:eastAsia="Times New Roman"/>
          <w:bCs/>
          <w:color w:val="000000"/>
        </w:rPr>
        <w:t>evolutionary history of AGO4.</w:t>
      </w:r>
    </w:p>
    <w:p w14:paraId="1EECCB76" w14:textId="77777777" w:rsidR="00053607" w:rsidRDefault="00053607" w:rsidP="00053607">
      <w:pPr>
        <w:spacing w:line="360" w:lineRule="auto"/>
        <w:jc w:val="both"/>
        <w:rPr>
          <w:rFonts w:eastAsia="Times New Roman"/>
          <w:b/>
          <w:bCs/>
          <w:color w:val="000000"/>
        </w:rPr>
      </w:pPr>
    </w:p>
    <w:p w14:paraId="0A932F71" w14:textId="37F5AA6C" w:rsidR="00053607" w:rsidRDefault="00053607" w:rsidP="00053607">
      <w:pPr>
        <w:spacing w:line="360" w:lineRule="auto"/>
        <w:jc w:val="center"/>
        <w:rPr>
          <w:rFonts w:eastAsia="Times New Roman"/>
          <w:b/>
          <w:bCs/>
          <w:color w:val="000000"/>
        </w:rPr>
      </w:pPr>
      <w:r w:rsidRPr="001E6259">
        <w:rPr>
          <w:rFonts w:eastAsia="Times New Roman"/>
          <w:bCs/>
          <w:noProof/>
          <w:color w:val="000000"/>
        </w:rPr>
        <w:drawing>
          <wp:inline distT="0" distB="0" distL="0" distR="0" wp14:anchorId="6697D364" wp14:editId="45BF5BEA">
            <wp:extent cx="2636874" cy="1998797"/>
            <wp:effectExtent l="0" t="0" r="0" b="1905"/>
            <wp:docPr id="23" name="Imagen 23" descr="C:\Users\Samsung\Downloads\update_figures_paper\figuras_finales_jpeg\Supp_Figures\Fig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amsung\Downloads\update_figures_paper\figuras_finales_jpeg\Supp_Figures\FigS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4979" cy="2004940"/>
                    </a:xfrm>
                    <a:prstGeom prst="rect">
                      <a:avLst/>
                    </a:prstGeom>
                    <a:noFill/>
                    <a:ln>
                      <a:noFill/>
                    </a:ln>
                  </pic:spPr>
                </pic:pic>
              </a:graphicData>
            </a:graphic>
          </wp:inline>
        </w:drawing>
      </w:r>
    </w:p>
    <w:p w14:paraId="61F1DC33" w14:textId="77777777" w:rsidR="00053607" w:rsidRDefault="00053607" w:rsidP="00053607">
      <w:pPr>
        <w:spacing w:line="360" w:lineRule="auto"/>
        <w:jc w:val="both"/>
        <w:rPr>
          <w:rFonts w:eastAsia="Times New Roman"/>
          <w:b/>
          <w:bCs/>
          <w:color w:val="000000"/>
        </w:rPr>
      </w:pPr>
    </w:p>
    <w:p w14:paraId="6B0326C9" w14:textId="16AF2888" w:rsidR="00053607" w:rsidRPr="001E6259" w:rsidRDefault="00053607" w:rsidP="00053607">
      <w:pPr>
        <w:spacing w:line="360" w:lineRule="auto"/>
        <w:jc w:val="both"/>
        <w:rPr>
          <w:rFonts w:eastAsia="Times New Roman"/>
          <w:bCs/>
          <w:color w:val="000000"/>
        </w:rPr>
      </w:pPr>
      <w:r w:rsidRPr="001E6259">
        <w:rPr>
          <w:rFonts w:eastAsia="Times New Roman"/>
          <w:b/>
          <w:bCs/>
          <w:color w:val="000000"/>
        </w:rPr>
        <w:t xml:space="preserve">Fig. S13. AGO1/10 clade in </w:t>
      </w:r>
      <w:r w:rsidRPr="001E6259">
        <w:rPr>
          <w:rFonts w:eastAsia="Times New Roman"/>
          <w:b/>
          <w:bCs/>
          <w:i/>
          <w:color w:val="000000"/>
        </w:rPr>
        <w:t xml:space="preserve">U. gibba </w:t>
      </w:r>
      <w:r w:rsidRPr="001E6259">
        <w:rPr>
          <w:rFonts w:eastAsia="Times New Roman"/>
          <w:b/>
          <w:bCs/>
          <w:color w:val="000000"/>
        </w:rPr>
        <w:t>phylome</w:t>
      </w:r>
      <w:r w:rsidRPr="001E6259">
        <w:rPr>
          <w:rFonts w:eastAsia="Times New Roman"/>
          <w:bCs/>
          <w:color w:val="000000"/>
        </w:rPr>
        <w:t>. Phylogenetic tree representing the evolutionary history of AGO1 and AGO10 in Phylome DB.</w:t>
      </w:r>
    </w:p>
    <w:p w14:paraId="72F3EA4C" w14:textId="77777777" w:rsidR="00053607" w:rsidRPr="001E6259" w:rsidRDefault="00053607" w:rsidP="00053607">
      <w:pPr>
        <w:spacing w:line="360" w:lineRule="auto"/>
        <w:jc w:val="both"/>
        <w:rPr>
          <w:rFonts w:eastAsia="Times New Roman"/>
          <w:bCs/>
          <w:color w:val="000000"/>
        </w:rPr>
      </w:pPr>
    </w:p>
    <w:p w14:paraId="12705A6D" w14:textId="00E04CF9" w:rsidR="00053607" w:rsidRPr="001E6259" w:rsidRDefault="00053607" w:rsidP="00053607">
      <w:pPr>
        <w:spacing w:line="360" w:lineRule="auto"/>
        <w:jc w:val="center"/>
        <w:rPr>
          <w:rFonts w:eastAsia="Times New Roman"/>
          <w:bCs/>
          <w:color w:val="000000"/>
        </w:rPr>
      </w:pPr>
    </w:p>
    <w:p w14:paraId="1CE04D5F" w14:textId="77777777" w:rsidR="00053607" w:rsidRPr="001E6259" w:rsidRDefault="00053607" w:rsidP="00053607">
      <w:pPr>
        <w:spacing w:line="360" w:lineRule="auto"/>
        <w:rPr>
          <w:rFonts w:eastAsia="Times New Roman"/>
          <w:bCs/>
          <w:color w:val="000000"/>
        </w:rPr>
      </w:pPr>
    </w:p>
    <w:p w14:paraId="6404E7F0" w14:textId="77777777" w:rsidR="00053607" w:rsidRPr="001E6259" w:rsidRDefault="00053607" w:rsidP="00053607">
      <w:pPr>
        <w:spacing w:line="360" w:lineRule="auto"/>
        <w:jc w:val="center"/>
        <w:rPr>
          <w:rFonts w:eastAsia="Times New Roman"/>
          <w:bCs/>
          <w:color w:val="000000"/>
        </w:rPr>
      </w:pPr>
      <w:r w:rsidRPr="001E6259">
        <w:rPr>
          <w:rFonts w:eastAsia="Times New Roman"/>
          <w:bCs/>
          <w:noProof/>
          <w:color w:val="000000"/>
        </w:rPr>
        <w:drawing>
          <wp:inline distT="0" distB="0" distL="0" distR="0" wp14:anchorId="33F63C30" wp14:editId="086FD52F">
            <wp:extent cx="5943600" cy="5299113"/>
            <wp:effectExtent l="0" t="0" r="0" b="0"/>
            <wp:docPr id="3" name="Imagen 3" descr="C:\Users\Samsung\Downloads\AGO-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wnloads\AGO-AL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299113"/>
                    </a:xfrm>
                    <a:prstGeom prst="rect">
                      <a:avLst/>
                    </a:prstGeom>
                    <a:noFill/>
                    <a:ln>
                      <a:noFill/>
                    </a:ln>
                  </pic:spPr>
                </pic:pic>
              </a:graphicData>
            </a:graphic>
          </wp:inline>
        </w:drawing>
      </w:r>
    </w:p>
    <w:p w14:paraId="2B42C565" w14:textId="77777777" w:rsidR="00053607" w:rsidRPr="001E6259" w:rsidRDefault="00053607" w:rsidP="00053607">
      <w:pPr>
        <w:spacing w:line="360" w:lineRule="auto"/>
        <w:jc w:val="both"/>
        <w:rPr>
          <w:rFonts w:eastAsia="Times New Roman"/>
          <w:b/>
          <w:bCs/>
          <w:color w:val="000000"/>
        </w:rPr>
      </w:pPr>
      <w:r w:rsidRPr="001E6259">
        <w:rPr>
          <w:rFonts w:eastAsia="Times New Roman"/>
          <w:b/>
          <w:bCs/>
          <w:color w:val="000000"/>
        </w:rPr>
        <w:t xml:space="preserve"> </w:t>
      </w:r>
    </w:p>
    <w:p w14:paraId="72A8DAAE" w14:textId="77777777" w:rsidR="00053607" w:rsidRPr="001E6259" w:rsidRDefault="00053607" w:rsidP="00053607">
      <w:pPr>
        <w:spacing w:line="360" w:lineRule="auto"/>
        <w:jc w:val="both"/>
        <w:rPr>
          <w:rFonts w:eastAsia="Times New Roman"/>
        </w:rPr>
      </w:pPr>
      <w:r w:rsidRPr="001E6259">
        <w:rPr>
          <w:rFonts w:eastAsia="Times New Roman"/>
          <w:b/>
          <w:bCs/>
          <w:color w:val="000000"/>
        </w:rPr>
        <w:t xml:space="preserve">Fig. S14. Phylogenetic tree of AGO family in </w:t>
      </w:r>
      <w:proofErr w:type="spellStart"/>
      <w:r w:rsidRPr="001E6259">
        <w:rPr>
          <w:rFonts w:eastAsia="Times New Roman"/>
          <w:b/>
          <w:bCs/>
          <w:color w:val="000000"/>
        </w:rPr>
        <w:t>Viridiplantae</w:t>
      </w:r>
      <w:proofErr w:type="spellEnd"/>
      <w:r w:rsidRPr="001E6259">
        <w:rPr>
          <w:rFonts w:eastAsia="Times New Roman"/>
          <w:color w:val="000000"/>
        </w:rPr>
        <w:t xml:space="preserve">. Phylogenetic reconstruction of AGO proteins for </w:t>
      </w:r>
      <w:proofErr w:type="spellStart"/>
      <w:r w:rsidRPr="001E6259">
        <w:rPr>
          <w:rFonts w:eastAsia="Times New Roman"/>
          <w:color w:val="000000"/>
        </w:rPr>
        <w:t>Viridiplantae</w:t>
      </w:r>
      <w:proofErr w:type="spellEnd"/>
      <w:r w:rsidRPr="001E6259">
        <w:rPr>
          <w:rFonts w:eastAsia="Times New Roman"/>
          <w:color w:val="000000"/>
        </w:rPr>
        <w:t xml:space="preserve"> to identify AGO in </w:t>
      </w:r>
      <w:r w:rsidRPr="001E6259">
        <w:rPr>
          <w:rFonts w:eastAsia="Times New Roman"/>
          <w:i/>
          <w:iCs/>
          <w:color w:val="000000"/>
        </w:rPr>
        <w:t>U. gibba</w:t>
      </w:r>
      <w:r w:rsidRPr="001E6259">
        <w:rPr>
          <w:rFonts w:eastAsia="Times New Roman"/>
          <w:color w:val="000000"/>
        </w:rPr>
        <w:t xml:space="preserve">. A maximum likelihood tree (ML + GTR + </w:t>
      </w:r>
      <w:proofErr w:type="spellStart"/>
      <w:r w:rsidRPr="001E6259">
        <w:rPr>
          <w:rFonts w:eastAsia="Times New Roman"/>
          <w:color w:val="000000"/>
        </w:rPr>
        <w:t>bootstrapp</w:t>
      </w:r>
      <w:proofErr w:type="spellEnd"/>
      <w:r w:rsidRPr="001E6259">
        <w:rPr>
          <w:rFonts w:eastAsia="Times New Roman"/>
          <w:color w:val="000000"/>
        </w:rPr>
        <w:t>=1000) for</w:t>
      </w:r>
      <w:r w:rsidRPr="001E6259">
        <w:rPr>
          <w:rFonts w:eastAsia="Times New Roman"/>
          <w:i/>
          <w:iCs/>
          <w:color w:val="000000"/>
        </w:rPr>
        <w:t xml:space="preserve"> AGO1, AGO2, AGO3, AGO4, AGO5, AGO6, AGO7, AGO8, AGO9, AGO10 </w:t>
      </w:r>
      <w:r w:rsidRPr="001E6259">
        <w:rPr>
          <w:rFonts w:eastAsia="Times New Roman"/>
          <w:color w:val="000000"/>
        </w:rPr>
        <w:t>and</w:t>
      </w:r>
      <w:r w:rsidRPr="001E6259">
        <w:rPr>
          <w:rFonts w:eastAsia="Times New Roman"/>
          <w:i/>
          <w:iCs/>
          <w:color w:val="000000"/>
        </w:rPr>
        <w:t xml:space="preserve"> AGO-like </w:t>
      </w:r>
      <w:r w:rsidRPr="001E6259">
        <w:rPr>
          <w:rFonts w:eastAsia="Times New Roman"/>
          <w:color w:val="000000"/>
        </w:rPr>
        <w:t>genes from representative genomes of land plants. The sequences from</w:t>
      </w:r>
      <w:r w:rsidRPr="001E6259">
        <w:rPr>
          <w:rFonts w:eastAsia="Times New Roman"/>
          <w:i/>
          <w:iCs/>
          <w:color w:val="000000"/>
        </w:rPr>
        <w:t xml:space="preserve"> Charophyte green algae (</w:t>
      </w:r>
      <w:proofErr w:type="spellStart"/>
      <w:r w:rsidRPr="001E6259">
        <w:rPr>
          <w:rFonts w:eastAsia="Times New Roman"/>
          <w:i/>
          <w:iCs/>
          <w:color w:val="000000"/>
        </w:rPr>
        <w:t>Coccomixa</w:t>
      </w:r>
      <w:proofErr w:type="spellEnd"/>
      <w:r w:rsidRPr="001E6259">
        <w:rPr>
          <w:rFonts w:eastAsia="Times New Roman"/>
          <w:i/>
          <w:iCs/>
          <w:color w:val="000000"/>
        </w:rPr>
        <w:t xml:space="preserve"> </w:t>
      </w:r>
      <w:proofErr w:type="spellStart"/>
      <w:r w:rsidRPr="001E6259">
        <w:rPr>
          <w:rFonts w:eastAsia="Times New Roman"/>
          <w:i/>
          <w:iCs/>
          <w:color w:val="000000"/>
        </w:rPr>
        <w:t>subellipsoidea</w:t>
      </w:r>
      <w:proofErr w:type="spellEnd"/>
      <w:r w:rsidRPr="001E6259">
        <w:rPr>
          <w:rFonts w:eastAsia="Times New Roman"/>
          <w:i/>
          <w:iCs/>
          <w:color w:val="000000"/>
        </w:rPr>
        <w:t xml:space="preserve">, Volvox </w:t>
      </w:r>
      <w:proofErr w:type="spellStart"/>
      <w:r w:rsidRPr="001E6259">
        <w:rPr>
          <w:rFonts w:eastAsia="Times New Roman"/>
          <w:i/>
          <w:iCs/>
          <w:color w:val="000000"/>
        </w:rPr>
        <w:t>carteri</w:t>
      </w:r>
      <w:proofErr w:type="spellEnd"/>
      <w:r w:rsidRPr="001E6259">
        <w:rPr>
          <w:rFonts w:eastAsia="Times New Roman"/>
          <w:i/>
          <w:iCs/>
          <w:color w:val="000000"/>
        </w:rPr>
        <w:t xml:space="preserve">, </w:t>
      </w:r>
      <w:proofErr w:type="spellStart"/>
      <w:r w:rsidRPr="001E6259">
        <w:rPr>
          <w:rFonts w:eastAsia="Times New Roman"/>
          <w:i/>
          <w:iCs/>
          <w:color w:val="000000"/>
        </w:rPr>
        <w:t>Dunaliella</w:t>
      </w:r>
      <w:proofErr w:type="spellEnd"/>
      <w:r w:rsidRPr="001E6259">
        <w:rPr>
          <w:rFonts w:eastAsia="Times New Roman"/>
          <w:i/>
          <w:iCs/>
          <w:color w:val="000000"/>
        </w:rPr>
        <w:t xml:space="preserve"> salina and Chlamydomonas reinhardtii) </w:t>
      </w:r>
      <w:r w:rsidRPr="001E6259">
        <w:rPr>
          <w:rFonts w:eastAsia="Times New Roman"/>
          <w:color w:val="000000"/>
        </w:rPr>
        <w:t>are clustered as out group including only AGO-like genes. Moreover, all AGO sequences from land plants form four clades which are named after with th</w:t>
      </w:r>
      <w:r w:rsidRPr="001E6259">
        <w:rPr>
          <w:rFonts w:eastAsia="Times New Roman"/>
          <w:i/>
          <w:iCs/>
          <w:color w:val="000000"/>
        </w:rPr>
        <w:t xml:space="preserve">e AGO </w:t>
      </w:r>
      <w:r w:rsidRPr="001E6259">
        <w:rPr>
          <w:rFonts w:eastAsia="Times New Roman"/>
          <w:color w:val="000000"/>
        </w:rPr>
        <w:t>genes</w:t>
      </w:r>
      <w:r w:rsidRPr="001E6259">
        <w:rPr>
          <w:rFonts w:eastAsia="Times New Roman"/>
          <w:i/>
          <w:iCs/>
          <w:color w:val="000000"/>
        </w:rPr>
        <w:t xml:space="preserve"> </w:t>
      </w:r>
      <w:r w:rsidRPr="001E6259">
        <w:rPr>
          <w:rFonts w:eastAsia="Times New Roman"/>
          <w:color w:val="000000"/>
        </w:rPr>
        <w:t>from</w:t>
      </w:r>
      <w:r w:rsidRPr="001E6259">
        <w:rPr>
          <w:rFonts w:eastAsia="Times New Roman"/>
          <w:i/>
          <w:iCs/>
          <w:color w:val="000000"/>
        </w:rPr>
        <w:t xml:space="preserve"> A. thaliana (</w:t>
      </w:r>
      <w:r w:rsidRPr="001E6259">
        <w:rPr>
          <w:rFonts w:eastAsia="Times New Roman"/>
          <w:color w:val="000000"/>
        </w:rPr>
        <w:t>yellow clade</w:t>
      </w:r>
      <w:r w:rsidRPr="001E6259">
        <w:rPr>
          <w:rFonts w:eastAsia="Times New Roman"/>
          <w:i/>
          <w:iCs/>
          <w:color w:val="000000"/>
        </w:rPr>
        <w:t xml:space="preserve"> AGO 6/4/8/9, </w:t>
      </w:r>
      <w:r w:rsidRPr="001E6259">
        <w:rPr>
          <w:rFonts w:eastAsia="Times New Roman"/>
          <w:color w:val="000000"/>
        </w:rPr>
        <w:t>green clade</w:t>
      </w:r>
      <w:r w:rsidRPr="001E6259">
        <w:rPr>
          <w:rFonts w:eastAsia="Times New Roman"/>
          <w:i/>
          <w:iCs/>
          <w:color w:val="000000"/>
        </w:rPr>
        <w:t xml:space="preserve"> AGO 7/3/2, </w:t>
      </w:r>
      <w:r w:rsidRPr="001E6259">
        <w:rPr>
          <w:rFonts w:eastAsia="Times New Roman"/>
          <w:color w:val="000000"/>
        </w:rPr>
        <w:t>cyan clade AGO5</w:t>
      </w:r>
      <w:r w:rsidRPr="001E6259">
        <w:rPr>
          <w:rFonts w:eastAsia="Times New Roman"/>
          <w:i/>
          <w:iCs/>
          <w:color w:val="000000"/>
        </w:rPr>
        <w:t xml:space="preserve"> and </w:t>
      </w:r>
      <w:r w:rsidRPr="001E6259">
        <w:rPr>
          <w:rFonts w:eastAsia="Times New Roman"/>
          <w:color w:val="000000"/>
        </w:rPr>
        <w:t>purple</w:t>
      </w:r>
      <w:r w:rsidRPr="001E6259">
        <w:rPr>
          <w:rFonts w:eastAsia="Times New Roman"/>
          <w:i/>
          <w:iCs/>
          <w:color w:val="000000"/>
        </w:rPr>
        <w:t xml:space="preserve"> AGO1/10, </w:t>
      </w:r>
      <w:r w:rsidRPr="001E6259">
        <w:rPr>
          <w:rFonts w:eastAsia="Times New Roman"/>
          <w:color w:val="000000"/>
        </w:rPr>
        <w:t>respectively</w:t>
      </w:r>
      <w:r w:rsidRPr="001E6259">
        <w:rPr>
          <w:rFonts w:eastAsia="Times New Roman"/>
          <w:i/>
          <w:iCs/>
          <w:color w:val="000000"/>
        </w:rPr>
        <w:t xml:space="preserve">). </w:t>
      </w:r>
      <w:r w:rsidRPr="001E6259">
        <w:rPr>
          <w:rFonts w:eastAsia="Times New Roman"/>
          <w:color w:val="000000"/>
        </w:rPr>
        <w:t xml:space="preserve">Blue flags represent the AGO identified in Arabidopsis and the red flags </w:t>
      </w:r>
      <w:r w:rsidRPr="001E6259">
        <w:rPr>
          <w:rFonts w:eastAsia="Times New Roman"/>
          <w:color w:val="000000"/>
        </w:rPr>
        <w:lastRenderedPageBreak/>
        <w:t xml:space="preserve">show the specific AGO for </w:t>
      </w:r>
      <w:r w:rsidRPr="001E6259">
        <w:rPr>
          <w:rFonts w:eastAsia="Times New Roman"/>
          <w:i/>
          <w:iCs/>
          <w:color w:val="000000"/>
        </w:rPr>
        <w:t>U. gibba</w:t>
      </w:r>
      <w:r w:rsidRPr="001E6259">
        <w:rPr>
          <w:rFonts w:eastAsia="Times New Roman"/>
          <w:color w:val="000000"/>
        </w:rPr>
        <w:t>.</w:t>
      </w:r>
      <w:r w:rsidRPr="001E6259">
        <w:rPr>
          <w:rFonts w:eastAsia="Times New Roman"/>
          <w:i/>
          <w:iCs/>
          <w:color w:val="000000"/>
        </w:rPr>
        <w:t xml:space="preserve"> </w:t>
      </w:r>
      <w:r w:rsidRPr="001E6259">
        <w:rPr>
          <w:rFonts w:eastAsia="Times New Roman"/>
          <w:color w:val="000000"/>
        </w:rPr>
        <w:t>Numbers beside nodes are bootstrap support values showing confidence.</w:t>
      </w:r>
      <w:r w:rsidRPr="001E6259">
        <w:rPr>
          <w:rFonts w:eastAsia="Times New Roman"/>
          <w:i/>
          <w:iCs/>
          <w:color w:val="000000"/>
        </w:rPr>
        <w:t xml:space="preserve"> </w:t>
      </w:r>
    </w:p>
    <w:p w14:paraId="3B9B7A0D" w14:textId="77777777" w:rsidR="00053607" w:rsidRPr="001E6259" w:rsidRDefault="00053607" w:rsidP="00053607">
      <w:pPr>
        <w:spacing w:line="360" w:lineRule="auto"/>
        <w:jc w:val="both"/>
        <w:rPr>
          <w:rFonts w:eastAsia="Times New Roman"/>
          <w:b/>
          <w:bCs/>
          <w:color w:val="000000"/>
        </w:rPr>
      </w:pPr>
    </w:p>
    <w:p w14:paraId="56A60DB4" w14:textId="77777777" w:rsidR="00053607" w:rsidRPr="001E6259" w:rsidRDefault="00053607" w:rsidP="00053607">
      <w:pPr>
        <w:spacing w:line="360" w:lineRule="auto"/>
        <w:jc w:val="both"/>
        <w:rPr>
          <w:rFonts w:eastAsia="Times New Roman"/>
        </w:rPr>
      </w:pPr>
    </w:p>
    <w:p w14:paraId="54A980AA" w14:textId="2EC96A18" w:rsidR="00053607" w:rsidRPr="00053607" w:rsidRDefault="00053607" w:rsidP="00053607">
      <w:pPr>
        <w:spacing w:line="360" w:lineRule="auto"/>
        <w:jc w:val="center"/>
        <w:rPr>
          <w:rFonts w:eastAsia="Times New Roman"/>
        </w:rPr>
      </w:pPr>
      <w:r w:rsidRPr="001E6259">
        <w:rPr>
          <w:noProof/>
        </w:rPr>
        <w:drawing>
          <wp:inline distT="0" distB="0" distL="0" distR="0" wp14:anchorId="4E403493" wp14:editId="03BF5E66">
            <wp:extent cx="4901609" cy="3634836"/>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5750" cy="3637907"/>
                    </a:xfrm>
                    <a:prstGeom prst="rect">
                      <a:avLst/>
                    </a:prstGeom>
                    <a:noFill/>
                    <a:ln>
                      <a:noFill/>
                    </a:ln>
                  </pic:spPr>
                </pic:pic>
              </a:graphicData>
            </a:graphic>
          </wp:inline>
        </w:drawing>
      </w:r>
    </w:p>
    <w:p w14:paraId="59E9D6CA" w14:textId="77777777" w:rsidR="00053607" w:rsidRPr="001E6259" w:rsidRDefault="00053607" w:rsidP="00053607">
      <w:pPr>
        <w:spacing w:line="360" w:lineRule="auto"/>
        <w:jc w:val="both"/>
        <w:rPr>
          <w:rFonts w:eastAsia="Times New Roman"/>
        </w:rPr>
      </w:pPr>
      <w:r w:rsidRPr="001E6259">
        <w:rPr>
          <w:rFonts w:eastAsia="Times New Roman"/>
          <w:b/>
          <w:bCs/>
          <w:color w:val="000000"/>
        </w:rPr>
        <w:t>Fig. S15. Phylogenetic analysis of DCL and RDR proteins. A</w:t>
      </w:r>
      <w:r w:rsidRPr="001E6259">
        <w:rPr>
          <w:rFonts w:eastAsia="Times New Roman"/>
          <w:color w:val="000000"/>
        </w:rPr>
        <w:t xml:space="preserve"> Maximum likelihood (ML + GTR + bootstrap = 1000) tree for RDR1, RDR2, RDR3, RDR4, RDR5 and RDR6 from representative genomes of land plants. The Phylogenetic reconstruction reveals an arrangement of three clades which are named after with the </w:t>
      </w:r>
      <w:r w:rsidRPr="001E6259">
        <w:rPr>
          <w:rFonts w:eastAsia="Times New Roman"/>
          <w:i/>
          <w:iCs/>
          <w:color w:val="000000"/>
        </w:rPr>
        <w:t>RDR</w:t>
      </w:r>
      <w:r w:rsidRPr="001E6259">
        <w:rPr>
          <w:rFonts w:eastAsia="Times New Roman"/>
          <w:color w:val="000000"/>
        </w:rPr>
        <w:t xml:space="preserve"> genes from </w:t>
      </w:r>
      <w:r w:rsidRPr="001E6259">
        <w:rPr>
          <w:rFonts w:eastAsia="Times New Roman"/>
          <w:i/>
          <w:iCs/>
          <w:color w:val="000000"/>
        </w:rPr>
        <w:t>A. thaliana (</w:t>
      </w:r>
      <w:r w:rsidRPr="001E6259">
        <w:rPr>
          <w:rFonts w:eastAsia="Times New Roman"/>
          <w:color w:val="000000"/>
        </w:rPr>
        <w:t>light red clade</w:t>
      </w:r>
      <w:r w:rsidRPr="001E6259">
        <w:rPr>
          <w:rFonts w:eastAsia="Times New Roman"/>
          <w:i/>
          <w:iCs/>
          <w:color w:val="000000"/>
        </w:rPr>
        <w:t xml:space="preserve"> RDR6, </w:t>
      </w:r>
      <w:r w:rsidRPr="001E6259">
        <w:rPr>
          <w:rFonts w:eastAsia="Times New Roman"/>
          <w:color w:val="000000"/>
        </w:rPr>
        <w:t>light blue</w:t>
      </w:r>
      <w:r w:rsidRPr="001E6259">
        <w:rPr>
          <w:rFonts w:eastAsia="Times New Roman"/>
          <w:i/>
          <w:iCs/>
          <w:color w:val="000000"/>
        </w:rPr>
        <w:t xml:space="preserve"> RDR 3/4/5 </w:t>
      </w:r>
      <w:r w:rsidRPr="001E6259">
        <w:rPr>
          <w:rFonts w:eastAsia="Times New Roman"/>
          <w:color w:val="000000"/>
        </w:rPr>
        <w:t>and light green</w:t>
      </w:r>
      <w:r w:rsidRPr="001E6259">
        <w:rPr>
          <w:rFonts w:eastAsia="Times New Roman"/>
          <w:i/>
          <w:iCs/>
          <w:color w:val="000000"/>
        </w:rPr>
        <w:t xml:space="preserve"> RDR 1/2, </w:t>
      </w:r>
      <w:r w:rsidRPr="001E6259">
        <w:rPr>
          <w:rFonts w:eastAsia="Times New Roman"/>
          <w:color w:val="000000"/>
        </w:rPr>
        <w:t>respectively</w:t>
      </w:r>
      <w:r w:rsidRPr="001E6259">
        <w:rPr>
          <w:rFonts w:eastAsia="Times New Roman"/>
          <w:i/>
          <w:iCs/>
          <w:color w:val="000000"/>
        </w:rPr>
        <w:t xml:space="preserve">). </w:t>
      </w:r>
      <w:r w:rsidRPr="001E6259">
        <w:rPr>
          <w:rFonts w:eastAsia="Times New Roman"/>
          <w:color w:val="000000"/>
        </w:rPr>
        <w:t>Blue flag indicates the</w:t>
      </w:r>
      <w:r w:rsidRPr="001E6259">
        <w:rPr>
          <w:rFonts w:eastAsia="Times New Roman"/>
          <w:i/>
          <w:iCs/>
          <w:color w:val="000000"/>
        </w:rPr>
        <w:t xml:space="preserve"> RDR </w:t>
      </w:r>
      <w:r w:rsidRPr="001E6259">
        <w:rPr>
          <w:rFonts w:eastAsia="Times New Roman"/>
          <w:color w:val="000000"/>
        </w:rPr>
        <w:t>sequences which belong to</w:t>
      </w:r>
      <w:r w:rsidRPr="001E6259">
        <w:rPr>
          <w:rFonts w:eastAsia="Times New Roman"/>
          <w:i/>
          <w:iCs/>
          <w:color w:val="000000"/>
        </w:rPr>
        <w:t xml:space="preserve"> Arabidopsis thaliana </w:t>
      </w:r>
      <w:r w:rsidRPr="001E6259">
        <w:rPr>
          <w:rFonts w:eastAsia="Times New Roman"/>
          <w:color w:val="000000"/>
        </w:rPr>
        <w:t>whereas the flags in red point to</w:t>
      </w:r>
      <w:r w:rsidRPr="001E6259">
        <w:rPr>
          <w:rFonts w:eastAsia="Times New Roman"/>
          <w:i/>
          <w:iCs/>
          <w:color w:val="000000"/>
        </w:rPr>
        <w:t xml:space="preserve"> Utricularia gibba </w:t>
      </w:r>
      <w:r w:rsidRPr="001E6259">
        <w:rPr>
          <w:rFonts w:eastAsia="Times New Roman"/>
          <w:color w:val="000000"/>
        </w:rPr>
        <w:t>sequences</w:t>
      </w:r>
      <w:r w:rsidRPr="001E6259">
        <w:rPr>
          <w:rFonts w:eastAsia="Times New Roman"/>
          <w:i/>
          <w:iCs/>
          <w:color w:val="000000"/>
        </w:rPr>
        <w:t xml:space="preserve">. </w:t>
      </w:r>
      <w:r w:rsidRPr="001E6259">
        <w:rPr>
          <w:rFonts w:eastAsia="Times New Roman"/>
          <w:color w:val="000000"/>
        </w:rPr>
        <w:t>Numbers beside nodes are bootstrap support values showing confidence</w:t>
      </w:r>
      <w:r w:rsidRPr="001E6259">
        <w:rPr>
          <w:rFonts w:eastAsia="Times New Roman"/>
          <w:i/>
          <w:iCs/>
          <w:color w:val="000000"/>
        </w:rPr>
        <w:t xml:space="preserve">. </w:t>
      </w:r>
      <w:r w:rsidRPr="001E6259">
        <w:rPr>
          <w:rFonts w:eastAsia="Times New Roman"/>
          <w:b/>
          <w:bCs/>
          <w:color w:val="000000"/>
        </w:rPr>
        <w:t>B</w:t>
      </w:r>
      <w:r w:rsidRPr="001E6259">
        <w:rPr>
          <w:rFonts w:eastAsia="Times New Roman"/>
          <w:color w:val="000000"/>
        </w:rPr>
        <w:t xml:space="preserve"> A maximum likelihood (ML + GTR + </w:t>
      </w:r>
      <w:proofErr w:type="spellStart"/>
      <w:r w:rsidRPr="001E6259">
        <w:rPr>
          <w:rFonts w:eastAsia="Times New Roman"/>
          <w:color w:val="000000"/>
        </w:rPr>
        <w:t>boostrap</w:t>
      </w:r>
      <w:proofErr w:type="spellEnd"/>
      <w:r w:rsidRPr="001E6259">
        <w:rPr>
          <w:rFonts w:eastAsia="Times New Roman"/>
          <w:color w:val="000000"/>
        </w:rPr>
        <w:t xml:space="preserve"> = 1000) tree fo</w:t>
      </w:r>
      <w:r w:rsidRPr="001E6259">
        <w:rPr>
          <w:rFonts w:eastAsia="Times New Roman"/>
          <w:i/>
          <w:iCs/>
          <w:color w:val="000000"/>
        </w:rPr>
        <w:t xml:space="preserve">r DCL1, DCL2, DCL3 and DCL4 </w:t>
      </w:r>
      <w:r w:rsidRPr="001E6259">
        <w:rPr>
          <w:rFonts w:eastAsia="Times New Roman"/>
          <w:color w:val="000000"/>
        </w:rPr>
        <w:t>from representative genomes of land plants</w:t>
      </w:r>
      <w:r w:rsidRPr="001E6259">
        <w:rPr>
          <w:rFonts w:eastAsia="Times New Roman"/>
          <w:i/>
          <w:iCs/>
          <w:color w:val="000000"/>
        </w:rPr>
        <w:t xml:space="preserve">. </w:t>
      </w:r>
      <w:r w:rsidRPr="001E6259">
        <w:rPr>
          <w:rFonts w:eastAsia="Times New Roman"/>
          <w:color w:val="000000"/>
        </w:rPr>
        <w:t>The Phylogenetic reconstruction reveals an arrangement of three clades which are named after with the</w:t>
      </w:r>
      <w:r w:rsidRPr="001E6259">
        <w:rPr>
          <w:rFonts w:eastAsia="Times New Roman"/>
          <w:i/>
          <w:iCs/>
          <w:color w:val="000000"/>
        </w:rPr>
        <w:t xml:space="preserve"> </w:t>
      </w:r>
      <w:r w:rsidRPr="001E6259">
        <w:rPr>
          <w:rFonts w:eastAsia="Times New Roman"/>
          <w:color w:val="000000"/>
        </w:rPr>
        <w:t>DCL proteins from</w:t>
      </w:r>
      <w:r w:rsidRPr="001E6259">
        <w:rPr>
          <w:rFonts w:eastAsia="Times New Roman"/>
          <w:i/>
          <w:iCs/>
          <w:color w:val="000000"/>
        </w:rPr>
        <w:t xml:space="preserve"> A. thaliana </w:t>
      </w:r>
      <w:r w:rsidRPr="001E6259">
        <w:rPr>
          <w:rFonts w:eastAsia="Times New Roman"/>
          <w:color w:val="000000"/>
        </w:rPr>
        <w:t>(Light red clade DCL4, light purple clade DCL2, green clade DCL3 and Blue clade DCL4, respectively).</w:t>
      </w:r>
      <w:r w:rsidRPr="001E6259">
        <w:rPr>
          <w:rFonts w:eastAsia="Times New Roman"/>
          <w:i/>
          <w:iCs/>
          <w:color w:val="000000"/>
        </w:rPr>
        <w:t xml:space="preserve"> </w:t>
      </w:r>
      <w:r w:rsidRPr="001E6259">
        <w:rPr>
          <w:rFonts w:eastAsia="Times New Roman"/>
          <w:color w:val="000000"/>
        </w:rPr>
        <w:t>Blue flag indicates the</w:t>
      </w:r>
      <w:r w:rsidRPr="001E6259">
        <w:rPr>
          <w:rFonts w:eastAsia="Times New Roman"/>
          <w:i/>
          <w:iCs/>
          <w:color w:val="000000"/>
        </w:rPr>
        <w:t xml:space="preserve"> RDR </w:t>
      </w:r>
      <w:r w:rsidRPr="001E6259">
        <w:rPr>
          <w:rFonts w:eastAsia="Times New Roman"/>
          <w:color w:val="000000"/>
        </w:rPr>
        <w:t>sequences which belong to</w:t>
      </w:r>
      <w:r w:rsidRPr="001E6259">
        <w:rPr>
          <w:rFonts w:eastAsia="Times New Roman"/>
          <w:i/>
          <w:iCs/>
          <w:color w:val="000000"/>
        </w:rPr>
        <w:t xml:space="preserve"> Arabidopsis thaliana </w:t>
      </w:r>
      <w:r w:rsidRPr="001E6259">
        <w:rPr>
          <w:rFonts w:eastAsia="Times New Roman"/>
          <w:color w:val="000000"/>
        </w:rPr>
        <w:t>whereas the flags in red point to</w:t>
      </w:r>
      <w:r w:rsidRPr="001E6259">
        <w:rPr>
          <w:rFonts w:eastAsia="Times New Roman"/>
          <w:i/>
          <w:iCs/>
          <w:color w:val="000000"/>
        </w:rPr>
        <w:t xml:space="preserve"> Utricularia gibba </w:t>
      </w:r>
      <w:r w:rsidRPr="001E6259">
        <w:rPr>
          <w:rFonts w:eastAsia="Times New Roman"/>
          <w:color w:val="000000"/>
        </w:rPr>
        <w:t>sequences</w:t>
      </w:r>
      <w:r w:rsidRPr="001E6259">
        <w:rPr>
          <w:rFonts w:eastAsia="Times New Roman"/>
          <w:i/>
          <w:iCs/>
          <w:color w:val="000000"/>
        </w:rPr>
        <w:t xml:space="preserve">. </w:t>
      </w:r>
      <w:r w:rsidRPr="001E6259">
        <w:rPr>
          <w:rFonts w:eastAsia="Times New Roman"/>
          <w:color w:val="000000"/>
        </w:rPr>
        <w:t>Numbers beside nodes are bootstrap support values showing confidence</w:t>
      </w:r>
    </w:p>
    <w:p w14:paraId="7AE1E83C" w14:textId="486B6B85" w:rsidR="00053607" w:rsidRPr="001E6259" w:rsidRDefault="00053607" w:rsidP="00053607">
      <w:pPr>
        <w:spacing w:after="240" w:line="360" w:lineRule="auto"/>
        <w:jc w:val="center"/>
        <w:rPr>
          <w:rFonts w:eastAsia="Times New Roman"/>
        </w:rPr>
      </w:pPr>
      <w:r w:rsidRPr="001E6259">
        <w:rPr>
          <w:rFonts w:eastAsia="Times New Roman"/>
          <w:noProof/>
        </w:rPr>
        <w:lastRenderedPageBreak/>
        <w:drawing>
          <wp:inline distT="0" distB="0" distL="0" distR="0" wp14:anchorId="5C08AB33" wp14:editId="154CBF63">
            <wp:extent cx="4423144" cy="3718560"/>
            <wp:effectExtent l="0" t="0" r="0" b="0"/>
            <wp:docPr id="26" name="Imagen 26" descr="C:\Users\Samsung\Downloads\update_figures_paper\figuras_finales_jpeg\Supp_Figures\Fig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amsung\Downloads\update_figures_paper\figuras_finales_jpeg\Supp_Figures\FigS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4560" cy="3719751"/>
                    </a:xfrm>
                    <a:prstGeom prst="rect">
                      <a:avLst/>
                    </a:prstGeom>
                    <a:noFill/>
                    <a:ln>
                      <a:noFill/>
                    </a:ln>
                  </pic:spPr>
                </pic:pic>
              </a:graphicData>
            </a:graphic>
          </wp:inline>
        </w:drawing>
      </w:r>
      <w:r w:rsidRPr="001E6259">
        <w:rPr>
          <w:rFonts w:eastAsia="Times New Roman"/>
        </w:rPr>
        <w:br/>
      </w:r>
    </w:p>
    <w:p w14:paraId="6AAE5A39" w14:textId="77777777" w:rsidR="00053607" w:rsidRPr="001E6259" w:rsidRDefault="00053607" w:rsidP="00053607">
      <w:pPr>
        <w:spacing w:after="240" w:line="360" w:lineRule="auto"/>
        <w:jc w:val="both"/>
      </w:pPr>
      <w:r w:rsidRPr="001E6259">
        <w:rPr>
          <w:rFonts w:eastAsia="Times New Roman"/>
          <w:b/>
        </w:rPr>
        <w:t>Fig. S16. Conserved protein domains among DCL3 for some angiosperms</w:t>
      </w:r>
      <w:r w:rsidRPr="001E6259">
        <w:rPr>
          <w:rFonts w:eastAsia="Times New Roman"/>
        </w:rPr>
        <w:t>. Identification of conserved protein domains in different DCL3 proteins in plants in HMMER database (</w:t>
      </w:r>
      <w:hyperlink r:id="rId21" w:history="1">
        <w:r w:rsidRPr="001E6259">
          <w:rPr>
            <w:rStyle w:val="Hyperlink"/>
          </w:rPr>
          <w:t>http://hmmer.org/</w:t>
        </w:r>
      </w:hyperlink>
      <w:r w:rsidRPr="001E6259">
        <w:t xml:space="preserve">). </w:t>
      </w:r>
    </w:p>
    <w:p w14:paraId="3DC820E3" w14:textId="77777777" w:rsidR="00053607" w:rsidRPr="001E6259" w:rsidRDefault="00053607" w:rsidP="00053607">
      <w:pPr>
        <w:spacing w:after="240" w:line="360" w:lineRule="auto"/>
        <w:rPr>
          <w:rFonts w:eastAsia="Times New Roman"/>
        </w:rPr>
      </w:pPr>
    </w:p>
    <w:p w14:paraId="41A278AF" w14:textId="66E709AF" w:rsidR="00053607" w:rsidRPr="001E6259" w:rsidRDefault="00053607" w:rsidP="00053607">
      <w:pPr>
        <w:spacing w:after="240" w:line="360" w:lineRule="auto"/>
        <w:rPr>
          <w:rFonts w:eastAsia="Times New Roman"/>
        </w:rPr>
      </w:pPr>
    </w:p>
    <w:p w14:paraId="10FCB1B6" w14:textId="77777777" w:rsidR="00053607" w:rsidRPr="001E6259" w:rsidRDefault="00053607" w:rsidP="00053607">
      <w:pPr>
        <w:spacing w:after="240" w:line="360" w:lineRule="auto"/>
        <w:rPr>
          <w:rFonts w:eastAsia="Times New Roman"/>
        </w:rPr>
      </w:pPr>
    </w:p>
    <w:p w14:paraId="493A4851" w14:textId="77777777" w:rsidR="00053607" w:rsidRPr="001E6259" w:rsidRDefault="00053607" w:rsidP="00053607">
      <w:pPr>
        <w:spacing w:after="240" w:line="360" w:lineRule="auto"/>
        <w:jc w:val="both"/>
        <w:rPr>
          <w:rFonts w:eastAsia="Times New Roman"/>
          <w:b/>
        </w:rPr>
      </w:pPr>
    </w:p>
    <w:p w14:paraId="5BF523EA" w14:textId="77777777" w:rsidR="00053607" w:rsidRPr="001E6259" w:rsidRDefault="00053607" w:rsidP="00053607">
      <w:pPr>
        <w:spacing w:after="240" w:line="360" w:lineRule="auto"/>
        <w:jc w:val="both"/>
        <w:rPr>
          <w:rFonts w:eastAsia="Times New Roman"/>
          <w:b/>
        </w:rPr>
      </w:pPr>
    </w:p>
    <w:p w14:paraId="666FB5B3" w14:textId="77777777" w:rsidR="00053607" w:rsidRPr="001E6259" w:rsidRDefault="00053607" w:rsidP="00053607">
      <w:pPr>
        <w:spacing w:after="240" w:line="360" w:lineRule="auto"/>
        <w:jc w:val="both"/>
        <w:rPr>
          <w:rFonts w:eastAsia="Times New Roman"/>
          <w:b/>
        </w:rPr>
      </w:pPr>
    </w:p>
    <w:p w14:paraId="65EC4534" w14:textId="77777777" w:rsidR="00053607" w:rsidRDefault="00053607" w:rsidP="00053607">
      <w:pPr>
        <w:spacing w:after="240" w:line="360" w:lineRule="auto"/>
        <w:jc w:val="both"/>
        <w:rPr>
          <w:rFonts w:eastAsia="Times New Roman"/>
          <w:b/>
        </w:rPr>
      </w:pPr>
    </w:p>
    <w:p w14:paraId="74FD3B60" w14:textId="476C7C1C" w:rsidR="00053607" w:rsidRDefault="00053607" w:rsidP="00053607">
      <w:pPr>
        <w:spacing w:after="240" w:line="360" w:lineRule="auto"/>
        <w:jc w:val="both"/>
        <w:rPr>
          <w:rFonts w:eastAsia="Times New Roman"/>
          <w:b/>
        </w:rPr>
      </w:pPr>
      <w:r w:rsidRPr="001E6259">
        <w:rPr>
          <w:noProof/>
          <w:vertAlign w:val="superscript"/>
        </w:rPr>
        <w:lastRenderedPageBreak/>
        <w:drawing>
          <wp:inline distT="0" distB="0" distL="0" distR="0" wp14:anchorId="27E21FBB" wp14:editId="097D4F27">
            <wp:extent cx="5943600" cy="4517735"/>
            <wp:effectExtent l="8255" t="0" r="825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5943600" cy="4517735"/>
                    </a:xfrm>
                    <a:prstGeom prst="rect">
                      <a:avLst/>
                    </a:prstGeom>
                    <a:noFill/>
                    <a:ln>
                      <a:noFill/>
                    </a:ln>
                  </pic:spPr>
                </pic:pic>
              </a:graphicData>
            </a:graphic>
          </wp:inline>
        </w:drawing>
      </w:r>
    </w:p>
    <w:p w14:paraId="669A913B" w14:textId="18261E08" w:rsidR="00053607" w:rsidRPr="001E6259" w:rsidRDefault="00053607" w:rsidP="00053607">
      <w:pPr>
        <w:spacing w:after="240" w:line="360" w:lineRule="auto"/>
        <w:jc w:val="both"/>
        <w:rPr>
          <w:rFonts w:eastAsia="Times New Roman"/>
        </w:rPr>
      </w:pPr>
      <w:r w:rsidRPr="001E6259">
        <w:rPr>
          <w:rFonts w:eastAsia="Times New Roman"/>
          <w:b/>
        </w:rPr>
        <w:t>Fig. S17. Multiple Sequence Alignment of some DCL3 proteins</w:t>
      </w:r>
      <w:r w:rsidRPr="001E6259">
        <w:rPr>
          <w:rFonts w:eastAsia="Times New Roman"/>
        </w:rPr>
        <w:t>. A multiple sequence alignment where red block represented the conserved protein domains with a representation in color blocks the typical protein domains for DCL3.</w:t>
      </w:r>
    </w:p>
    <w:p w14:paraId="4BEAD990" w14:textId="095AD7ED" w:rsidR="00053607" w:rsidRDefault="00053607" w:rsidP="00053607">
      <w:pPr>
        <w:spacing w:line="360" w:lineRule="auto"/>
        <w:jc w:val="both"/>
        <w:rPr>
          <w:rFonts w:eastAsia="Times New Roman"/>
        </w:rPr>
      </w:pPr>
    </w:p>
    <w:p w14:paraId="7D1A495B" w14:textId="747D12FA" w:rsidR="00053607" w:rsidRDefault="00053607" w:rsidP="00053607">
      <w:pPr>
        <w:spacing w:line="360" w:lineRule="auto"/>
        <w:jc w:val="both"/>
        <w:rPr>
          <w:rFonts w:eastAsia="Times New Roman"/>
        </w:rPr>
      </w:pPr>
    </w:p>
    <w:p w14:paraId="7D4E08D0" w14:textId="35B5077A" w:rsidR="00053607" w:rsidRDefault="00053607" w:rsidP="00053607">
      <w:pPr>
        <w:spacing w:line="360" w:lineRule="auto"/>
        <w:jc w:val="both"/>
        <w:rPr>
          <w:rFonts w:eastAsia="Times New Roman"/>
        </w:rPr>
      </w:pPr>
    </w:p>
    <w:p w14:paraId="7CECAD28" w14:textId="1EBBCF92" w:rsidR="00053607" w:rsidRDefault="00053607" w:rsidP="00053607">
      <w:pPr>
        <w:spacing w:line="360" w:lineRule="auto"/>
        <w:jc w:val="both"/>
        <w:rPr>
          <w:rFonts w:eastAsia="Times New Roman"/>
        </w:rPr>
      </w:pPr>
    </w:p>
    <w:p w14:paraId="5E91C598" w14:textId="77777777" w:rsidR="00053607" w:rsidRPr="001E6259" w:rsidRDefault="00053607" w:rsidP="00053607">
      <w:pPr>
        <w:spacing w:after="240" w:line="360" w:lineRule="auto"/>
        <w:jc w:val="center"/>
        <w:rPr>
          <w:rFonts w:eastAsia="Times New Roman"/>
        </w:rPr>
      </w:pPr>
      <w:r>
        <w:rPr>
          <w:noProof/>
        </w:rPr>
        <w:lastRenderedPageBreak/>
        <w:drawing>
          <wp:inline distT="0" distB="0" distL="0" distR="0" wp14:anchorId="16B2D777" wp14:editId="6600A102">
            <wp:extent cx="4878705" cy="822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8705" cy="8229600"/>
                    </a:xfrm>
                    <a:prstGeom prst="rect">
                      <a:avLst/>
                    </a:prstGeom>
                    <a:noFill/>
                    <a:ln>
                      <a:noFill/>
                    </a:ln>
                  </pic:spPr>
                </pic:pic>
              </a:graphicData>
            </a:graphic>
          </wp:inline>
        </w:drawing>
      </w:r>
    </w:p>
    <w:p w14:paraId="21040F5E" w14:textId="77777777" w:rsidR="00053607" w:rsidRPr="001E6259" w:rsidRDefault="00053607" w:rsidP="00053607">
      <w:pPr>
        <w:spacing w:after="240" w:line="360" w:lineRule="auto"/>
        <w:jc w:val="both"/>
        <w:rPr>
          <w:rFonts w:eastAsia="Times New Roman"/>
        </w:rPr>
      </w:pPr>
      <w:r w:rsidRPr="001E6259">
        <w:rPr>
          <w:rFonts w:eastAsia="Times New Roman"/>
          <w:b/>
          <w:bCs/>
        </w:rPr>
        <w:lastRenderedPageBreak/>
        <w:t>Fig. S18. Ug</w:t>
      </w:r>
      <w:r w:rsidRPr="001E6259">
        <w:rPr>
          <w:rFonts w:eastAsia="Times New Roman"/>
          <w:b/>
          <w:bCs/>
          <w:i/>
          <w:iCs/>
        </w:rPr>
        <w:t>DCL3</w:t>
      </w:r>
      <w:r w:rsidRPr="001E6259">
        <w:rPr>
          <w:rFonts w:eastAsia="Times New Roman"/>
          <w:b/>
          <w:bCs/>
        </w:rPr>
        <w:t xml:space="preserve"> in the transcriptomic datasets and RACE-PCR. (a) </w:t>
      </w:r>
      <w:r w:rsidRPr="001E6259">
        <w:rPr>
          <w:rFonts w:eastAsia="Times New Roman"/>
        </w:rPr>
        <w:t xml:space="preserve">Synteny analysis between </w:t>
      </w:r>
      <w:r w:rsidRPr="001E6259">
        <w:rPr>
          <w:rFonts w:eastAsia="Times New Roman"/>
          <w:i/>
          <w:iCs/>
        </w:rPr>
        <w:t>U. gibba</w:t>
      </w:r>
      <w:r w:rsidRPr="001E6259">
        <w:rPr>
          <w:rFonts w:eastAsia="Times New Roman"/>
        </w:rPr>
        <w:t xml:space="preserve"> two gene models (two latest genome version) and A. thaliana DCL3, the colored blocks represent the syntenic regions. </w:t>
      </w:r>
      <w:r w:rsidRPr="001E6259">
        <w:rPr>
          <w:rFonts w:eastAsia="Times New Roman"/>
          <w:b/>
          <w:bCs/>
        </w:rPr>
        <w:t xml:space="preserve">(b) </w:t>
      </w:r>
      <w:r w:rsidRPr="001E6259">
        <w:rPr>
          <w:rFonts w:eastAsia="Times New Roman"/>
        </w:rPr>
        <w:t>The protein of ugDCL3 comprises 996 aminoacids (aa) and has three conserved protein domains (PAZ domain, and two contiguous Ribonuclease III domains). The gene model has a coding sequence of size 2991 bp and contains 13 exons which can be visualize in the protein conserved domains. The ug</w:t>
      </w:r>
      <w:r w:rsidRPr="001E6259">
        <w:rPr>
          <w:rFonts w:eastAsia="Times New Roman"/>
          <w:i/>
          <w:iCs/>
        </w:rPr>
        <w:t>DCL3</w:t>
      </w:r>
      <w:r w:rsidRPr="001E6259">
        <w:rPr>
          <w:rFonts w:eastAsia="Times New Roman"/>
        </w:rPr>
        <w:t xml:space="preserve"> is located on the unitig_37 one of the largest contig. In the bottom we show the search of largest transcripts in our transcriptomic data of contrasting conditions. The conditions with largest transcripts were Control (Normal conditions), BAP (treatment with the hormone </w:t>
      </w:r>
      <w:proofErr w:type="spellStart"/>
      <w:r w:rsidRPr="001E6259">
        <w:rPr>
          <w:rFonts w:eastAsia="Times New Roman"/>
        </w:rPr>
        <w:t>Benzil</w:t>
      </w:r>
      <w:proofErr w:type="spellEnd"/>
      <w:r w:rsidRPr="001E6259">
        <w:rPr>
          <w:rFonts w:eastAsia="Times New Roman"/>
        </w:rPr>
        <w:t xml:space="preserve">-aminopurine), ABA (treatment with Abscisic acid plant hormone) and PEG (Polyethylene glycol, an osmotic treatment). The transcript size varies among these conditions, but the coding sequence is the same. </w:t>
      </w:r>
      <w:r w:rsidRPr="001E6259">
        <w:rPr>
          <w:rFonts w:eastAsia="Times New Roman"/>
          <w:b/>
          <w:bCs/>
        </w:rPr>
        <w:t xml:space="preserve">(c) </w:t>
      </w:r>
      <w:r w:rsidRPr="001E6259">
        <w:rPr>
          <w:rFonts w:eastAsia="Times New Roman"/>
        </w:rPr>
        <w:t xml:space="preserve">5´Race-PCR sequence alignment against reference genome highlighting </w:t>
      </w:r>
      <w:r>
        <w:rPr>
          <w:rFonts w:eastAsia="Times New Roman"/>
        </w:rPr>
        <w:t>in red blocks the 5´RACE-PCR and in green blocks de CDS sequence of</w:t>
      </w:r>
      <w:r w:rsidRPr="001E6259">
        <w:rPr>
          <w:rFonts w:eastAsia="Times New Roman"/>
        </w:rPr>
        <w:t xml:space="preserve"> </w:t>
      </w:r>
      <w:r w:rsidRPr="001E6259">
        <w:rPr>
          <w:rFonts w:eastAsia="Times New Roman"/>
          <w:i/>
          <w:iCs/>
        </w:rPr>
        <w:t>DCL3</w:t>
      </w:r>
      <w:r w:rsidRPr="001E6259">
        <w:rPr>
          <w:rFonts w:eastAsia="Times New Roman"/>
        </w:rPr>
        <w:t xml:space="preserve"> gene </w:t>
      </w:r>
      <w:r>
        <w:rPr>
          <w:rFonts w:eastAsia="Times New Roman"/>
        </w:rPr>
        <w:t>(</w:t>
      </w:r>
      <w:r w:rsidRPr="00B07FE4">
        <w:rPr>
          <w:rFonts w:eastAsia="Times New Roman"/>
          <w:b/>
          <w:bCs/>
        </w:rPr>
        <w:t>d</w:t>
      </w:r>
      <w:r>
        <w:rPr>
          <w:rFonts w:eastAsia="Times New Roman"/>
        </w:rPr>
        <w:t xml:space="preserve">) left: IGV browser </w:t>
      </w:r>
      <w:r w:rsidRPr="001E6259">
        <w:rPr>
          <w:rFonts w:eastAsia="Times New Roman"/>
        </w:rPr>
        <w:t xml:space="preserve">location </w:t>
      </w:r>
      <w:r>
        <w:rPr>
          <w:rFonts w:eastAsia="Times New Roman"/>
        </w:rPr>
        <w:t xml:space="preserve">of </w:t>
      </w:r>
      <w:r w:rsidRPr="00B07FE4">
        <w:rPr>
          <w:rFonts w:eastAsia="Times New Roman"/>
          <w:i/>
          <w:iCs/>
        </w:rPr>
        <w:t>DCL3</w:t>
      </w:r>
      <w:r>
        <w:rPr>
          <w:rFonts w:eastAsia="Times New Roman"/>
        </w:rPr>
        <w:t xml:space="preserve"> gene and compared with reads coverage of </w:t>
      </w:r>
      <w:r w:rsidRPr="001E6259">
        <w:rPr>
          <w:rFonts w:eastAsia="Times New Roman"/>
        </w:rPr>
        <w:t xml:space="preserve">some </w:t>
      </w:r>
      <w:r>
        <w:rPr>
          <w:rFonts w:eastAsia="Times New Roman"/>
        </w:rPr>
        <w:t xml:space="preserve">RNA-Seq </w:t>
      </w:r>
      <w:r w:rsidRPr="001E6259">
        <w:rPr>
          <w:rFonts w:eastAsia="Times New Roman"/>
        </w:rPr>
        <w:t>libraries</w:t>
      </w:r>
      <w:r>
        <w:rPr>
          <w:rFonts w:eastAsia="Times New Roman"/>
        </w:rPr>
        <w:t xml:space="preserve">. Right: Table of transcripts per million (TPM) in WT libraries in </w:t>
      </w:r>
      <w:r w:rsidRPr="00B07FE4">
        <w:rPr>
          <w:rFonts w:eastAsia="Times New Roman"/>
          <w:i/>
          <w:iCs/>
        </w:rPr>
        <w:t>DCL3</w:t>
      </w:r>
      <w:r>
        <w:rPr>
          <w:rFonts w:eastAsia="Times New Roman"/>
        </w:rPr>
        <w:t xml:space="preserve"> gene.</w:t>
      </w:r>
      <w:r w:rsidRPr="001E6259">
        <w:rPr>
          <w:rFonts w:eastAsia="Times New Roman"/>
        </w:rPr>
        <w:t xml:space="preserve"> </w:t>
      </w:r>
    </w:p>
    <w:p w14:paraId="19564ADD" w14:textId="33CE3C07" w:rsidR="00053607" w:rsidRDefault="00053607" w:rsidP="00053607">
      <w:pPr>
        <w:spacing w:after="240" w:line="360" w:lineRule="auto"/>
        <w:jc w:val="center"/>
        <w:rPr>
          <w:rFonts w:eastAsia="Times New Roman"/>
        </w:rPr>
      </w:pPr>
    </w:p>
    <w:p w14:paraId="09E198D6" w14:textId="03E8B6AC" w:rsidR="00053607" w:rsidRDefault="00053607" w:rsidP="00053607">
      <w:pPr>
        <w:spacing w:after="240" w:line="360" w:lineRule="auto"/>
        <w:jc w:val="center"/>
        <w:rPr>
          <w:rFonts w:eastAsia="Times New Roman"/>
        </w:rPr>
      </w:pPr>
      <w:r>
        <w:rPr>
          <w:noProof/>
        </w:rPr>
        <w:lastRenderedPageBreak/>
        <w:drawing>
          <wp:inline distT="0" distB="0" distL="0" distR="0" wp14:anchorId="11B49185" wp14:editId="573F5529">
            <wp:extent cx="2867834" cy="62674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3345" cy="6279495"/>
                    </a:xfrm>
                    <a:prstGeom prst="rect">
                      <a:avLst/>
                    </a:prstGeom>
                    <a:noFill/>
                    <a:ln>
                      <a:noFill/>
                    </a:ln>
                  </pic:spPr>
                </pic:pic>
              </a:graphicData>
            </a:graphic>
          </wp:inline>
        </w:drawing>
      </w:r>
    </w:p>
    <w:p w14:paraId="1E82B051" w14:textId="3B0D9A44" w:rsidR="00053607" w:rsidRDefault="00053607" w:rsidP="00053607">
      <w:pPr>
        <w:spacing w:line="360" w:lineRule="auto"/>
        <w:jc w:val="both"/>
        <w:rPr>
          <w:rFonts w:eastAsia="Times New Roman"/>
          <w:color w:val="000000"/>
        </w:rPr>
      </w:pPr>
      <w:r w:rsidRPr="001E6259">
        <w:rPr>
          <w:rFonts w:eastAsia="Times New Roman"/>
          <w:b/>
          <w:bCs/>
        </w:rPr>
        <w:t>Fig. S</w:t>
      </w:r>
      <w:r>
        <w:rPr>
          <w:rFonts w:eastAsia="Times New Roman"/>
          <w:b/>
          <w:bCs/>
        </w:rPr>
        <w:t>19.</w:t>
      </w:r>
      <w:r w:rsidRPr="001E6259">
        <w:rPr>
          <w:rFonts w:eastAsia="Times New Roman"/>
          <w:b/>
          <w:bCs/>
          <w:color w:val="000000"/>
        </w:rPr>
        <w:t xml:space="preserve"> Comparison between m5C identification in </w:t>
      </w:r>
      <w:r w:rsidRPr="001E6259">
        <w:rPr>
          <w:rFonts w:eastAsia="Times New Roman"/>
          <w:b/>
          <w:bCs/>
          <w:i/>
          <w:iCs/>
          <w:color w:val="000000"/>
        </w:rPr>
        <w:t>A. thaliana</w:t>
      </w:r>
      <w:r w:rsidRPr="001E6259">
        <w:rPr>
          <w:rFonts w:eastAsia="Times New Roman"/>
          <w:b/>
          <w:bCs/>
          <w:color w:val="000000"/>
        </w:rPr>
        <w:t xml:space="preserve"> with BS-Seq and SMRT-Seq. (a) </w:t>
      </w:r>
      <w:r w:rsidRPr="001E6259">
        <w:rPr>
          <w:bCs/>
        </w:rPr>
        <w:t>Distribution of m5C in the Arabidopsis genome in syntenic regions.</w:t>
      </w:r>
      <w:r w:rsidRPr="001E6259">
        <w:t xml:space="preserve"> Normalized methylation distribution estimated by BS-Seq and SMRT-Seq.</w:t>
      </w:r>
      <w:r w:rsidRPr="001E6259">
        <w:rPr>
          <w:b/>
          <w:bCs/>
        </w:rPr>
        <w:t xml:space="preserve"> </w:t>
      </w:r>
      <w:r w:rsidRPr="001E6259">
        <w:rPr>
          <w:bCs/>
        </w:rPr>
        <w:t xml:space="preserve">In the histogram were represented 604 syntenic windows at genome-wide level divided by chromosome. The red line represents the density distribution of BS-Seq, and blue line represents the SMRT-Seq density. The estimated rˆ is given in purple for each chromosome. </w:t>
      </w:r>
      <w:r w:rsidRPr="00FE6027">
        <w:rPr>
          <w:b/>
        </w:rPr>
        <w:t>(b)</w:t>
      </w:r>
      <w:r>
        <w:rPr>
          <w:bCs/>
        </w:rPr>
        <w:t xml:space="preserve"> </w:t>
      </w:r>
      <w:r w:rsidRPr="001E6259">
        <w:rPr>
          <w:rFonts w:eastAsia="Times New Roman"/>
          <w:color w:val="000000"/>
        </w:rPr>
        <w:t xml:space="preserve">Global methylation context for total m5C </w:t>
      </w:r>
      <w:r w:rsidRPr="001E6259">
        <w:rPr>
          <w:rFonts w:eastAsia="Times New Roman"/>
          <w:color w:val="000000"/>
        </w:rPr>
        <w:lastRenderedPageBreak/>
        <w:t xml:space="preserve">identification in 4 libraries of BS-Seq and SMRT-Seq. The figure shows the methylation context for individual BS-Seq libraries and SMRT-Seq of Arabidopsis. For BS-Seq were used 4 libraries named B1 (shoot 7days), B2 (Root 7 days), B3 (Shoot 16 days), B4 (Root 16 days) grown in optimal conditions and SMRT. In the X axis can see the methylation context (CG, CHG, CHH) grouped for different libraries. The Y axis represents the percentage for each methylation context. </w:t>
      </w:r>
      <w:r w:rsidRPr="001E6259">
        <w:rPr>
          <w:rFonts w:eastAsia="Times New Roman"/>
          <w:b/>
          <w:bCs/>
          <w:color w:val="000000"/>
        </w:rPr>
        <w:t>(</w:t>
      </w:r>
      <w:r>
        <w:rPr>
          <w:rFonts w:eastAsia="Times New Roman"/>
          <w:b/>
          <w:bCs/>
          <w:color w:val="000000"/>
        </w:rPr>
        <w:t xml:space="preserve">c) </w:t>
      </w:r>
      <w:r w:rsidRPr="0026614F">
        <w:rPr>
          <w:rFonts w:eastAsia="Times New Roman"/>
          <w:color w:val="000000"/>
        </w:rPr>
        <w:t>Global m5C distribution at chromosome scale</w:t>
      </w:r>
      <w:r>
        <w:rPr>
          <w:rFonts w:eastAsia="Times New Roman"/>
          <w:color w:val="000000"/>
        </w:rPr>
        <w:t>.</w:t>
      </w:r>
    </w:p>
    <w:p w14:paraId="5DFE8C43" w14:textId="0957D28A" w:rsidR="0064441F" w:rsidRDefault="0064441F" w:rsidP="00053607">
      <w:pPr>
        <w:spacing w:line="360" w:lineRule="auto"/>
        <w:jc w:val="both"/>
        <w:rPr>
          <w:rFonts w:eastAsia="Times New Roman"/>
          <w:color w:val="000000"/>
        </w:rPr>
      </w:pPr>
    </w:p>
    <w:p w14:paraId="0934B6B4" w14:textId="77777777" w:rsidR="0064441F" w:rsidRDefault="0064441F" w:rsidP="00053607">
      <w:pPr>
        <w:spacing w:line="360" w:lineRule="auto"/>
        <w:jc w:val="both"/>
        <w:rPr>
          <w:rFonts w:eastAsia="Times New Roman"/>
          <w:color w:val="000000"/>
        </w:rPr>
      </w:pPr>
    </w:p>
    <w:p w14:paraId="3B1344E1" w14:textId="77777777" w:rsidR="0064441F" w:rsidRPr="0026614F" w:rsidRDefault="0064441F" w:rsidP="00053607">
      <w:pPr>
        <w:spacing w:line="360" w:lineRule="auto"/>
        <w:jc w:val="both"/>
        <w:rPr>
          <w:rFonts w:eastAsia="Times New Roman"/>
          <w:color w:val="000000"/>
        </w:rPr>
      </w:pPr>
    </w:p>
    <w:p w14:paraId="3C62D684" w14:textId="77777777" w:rsidR="0064441F" w:rsidRPr="001E6259" w:rsidRDefault="0064441F" w:rsidP="0064441F">
      <w:pPr>
        <w:spacing w:after="240" w:line="360" w:lineRule="auto"/>
        <w:jc w:val="center"/>
        <w:rPr>
          <w:rFonts w:eastAsia="Times New Roman"/>
        </w:rPr>
      </w:pPr>
      <w:r w:rsidRPr="001E6259">
        <w:rPr>
          <w:noProof/>
        </w:rPr>
        <w:drawing>
          <wp:inline distT="0" distB="0" distL="0" distR="0" wp14:anchorId="4DB2E197" wp14:editId="62852CE7">
            <wp:extent cx="2876550" cy="4676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550" cy="4676775"/>
                    </a:xfrm>
                    <a:prstGeom prst="rect">
                      <a:avLst/>
                    </a:prstGeom>
                    <a:noFill/>
                    <a:ln>
                      <a:noFill/>
                    </a:ln>
                  </pic:spPr>
                </pic:pic>
              </a:graphicData>
            </a:graphic>
          </wp:inline>
        </w:drawing>
      </w:r>
    </w:p>
    <w:p w14:paraId="6D463FE1" w14:textId="77777777" w:rsidR="0064441F" w:rsidRPr="001E6259" w:rsidRDefault="0064441F" w:rsidP="0064441F">
      <w:pPr>
        <w:spacing w:after="240" w:line="360" w:lineRule="auto"/>
        <w:jc w:val="both"/>
        <w:rPr>
          <w:rFonts w:eastAsia="Times New Roman"/>
        </w:rPr>
      </w:pPr>
      <w:r>
        <w:rPr>
          <w:rFonts w:eastAsia="Times New Roman"/>
          <w:b/>
          <w:bCs/>
        </w:rPr>
        <w:t xml:space="preserve">Fig. S20. </w:t>
      </w:r>
      <w:r w:rsidRPr="001E6259">
        <w:rPr>
          <w:rFonts w:eastAsia="Times New Roman"/>
          <w:b/>
          <w:bCs/>
        </w:rPr>
        <w:t xml:space="preserve">Methylation identification with SMRT-Seq. (a) </w:t>
      </w:r>
      <w:r w:rsidRPr="001E6259">
        <w:rPr>
          <w:rFonts w:eastAsia="Times New Roman"/>
        </w:rPr>
        <w:t xml:space="preserve">Pie plot representing global methylation context for m5Cs in the </w:t>
      </w:r>
      <w:r w:rsidRPr="001E6259">
        <w:rPr>
          <w:rFonts w:eastAsia="Times New Roman"/>
          <w:i/>
          <w:iCs/>
        </w:rPr>
        <w:t xml:space="preserve">U. gibba </w:t>
      </w:r>
      <w:r w:rsidRPr="001E6259">
        <w:rPr>
          <w:rFonts w:eastAsia="Times New Roman"/>
        </w:rPr>
        <w:t xml:space="preserve">genome. </w:t>
      </w:r>
      <w:r w:rsidRPr="001E6259">
        <w:rPr>
          <w:rFonts w:eastAsia="Times New Roman"/>
          <w:b/>
          <w:bCs/>
        </w:rPr>
        <w:t>(b)</w:t>
      </w:r>
      <w:r w:rsidRPr="001E6259">
        <w:rPr>
          <w:rFonts w:eastAsia="Times New Roman"/>
        </w:rPr>
        <w:t xml:space="preserve"> Methylation levels for each methylation context. </w:t>
      </w:r>
      <w:r w:rsidRPr="001E6259">
        <w:rPr>
          <w:rFonts w:eastAsia="Times New Roman"/>
          <w:b/>
          <w:bCs/>
        </w:rPr>
        <w:t>(c)</w:t>
      </w:r>
      <w:r w:rsidRPr="001E6259">
        <w:rPr>
          <w:rFonts w:eastAsia="Times New Roman"/>
        </w:rPr>
        <w:t xml:space="preserve"> Gene body methylation and 800 bp upstream and downstream the gene body.</w:t>
      </w:r>
    </w:p>
    <w:p w14:paraId="36CC66D6" w14:textId="77777777" w:rsidR="0064441F" w:rsidRPr="001E6259" w:rsidRDefault="0064441F" w:rsidP="0064441F">
      <w:pPr>
        <w:spacing w:after="240" w:line="360" w:lineRule="auto"/>
        <w:jc w:val="both"/>
        <w:rPr>
          <w:rFonts w:eastAsia="Times New Roman"/>
        </w:rPr>
      </w:pPr>
    </w:p>
    <w:p w14:paraId="3F01E810" w14:textId="77777777" w:rsidR="0064441F" w:rsidRPr="001E6259" w:rsidRDefault="0064441F" w:rsidP="0064441F">
      <w:pPr>
        <w:spacing w:after="100" w:line="360" w:lineRule="auto"/>
        <w:jc w:val="both"/>
        <w:rPr>
          <w:rFonts w:eastAsia="Times New Roman"/>
        </w:rPr>
      </w:pPr>
      <w:r w:rsidRPr="001E6259">
        <w:rPr>
          <w:rFonts w:eastAsia="Times New Roman"/>
          <w:b/>
          <w:bCs/>
          <w:color w:val="000000"/>
        </w:rPr>
        <w:t xml:space="preserve">Table S1. </w:t>
      </w:r>
      <w:r w:rsidRPr="001E6259">
        <w:rPr>
          <w:rFonts w:eastAsia="Times New Roman"/>
          <w:b/>
          <w:bCs/>
          <w:color w:val="000000"/>
          <w:shd w:val="clear" w:color="auto" w:fill="FFFFFF"/>
        </w:rPr>
        <w:t>lncRNAs features. Summary of lncRNAs size and exon number.</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64441F" w:rsidRPr="001E6259" w14:paraId="7F3F4288" w14:textId="77777777" w:rsidTr="009D52C0">
        <w:tc>
          <w:tcPr>
            <w:tcW w:w="1335" w:type="dxa"/>
          </w:tcPr>
          <w:p w14:paraId="47307392" w14:textId="77777777" w:rsidR="0064441F" w:rsidRPr="001E6259" w:rsidRDefault="0064441F" w:rsidP="009D52C0">
            <w:pPr>
              <w:spacing w:line="360" w:lineRule="auto"/>
              <w:jc w:val="center"/>
              <w:rPr>
                <w:rFonts w:eastAsia="Times New Roman"/>
                <w:b/>
              </w:rPr>
            </w:pPr>
            <w:r w:rsidRPr="001E6259">
              <w:rPr>
                <w:rFonts w:eastAsia="Times New Roman"/>
                <w:b/>
              </w:rPr>
              <w:t xml:space="preserve">Mean </w:t>
            </w:r>
          </w:p>
          <w:p w14:paraId="28CE8600" w14:textId="77777777" w:rsidR="0064441F" w:rsidRPr="001E6259" w:rsidRDefault="0064441F" w:rsidP="009D52C0">
            <w:pPr>
              <w:spacing w:line="360" w:lineRule="auto"/>
              <w:jc w:val="center"/>
              <w:rPr>
                <w:rFonts w:eastAsia="Times New Roman"/>
                <w:b/>
              </w:rPr>
            </w:pPr>
            <w:r w:rsidRPr="001E6259">
              <w:rPr>
                <w:rFonts w:eastAsia="Times New Roman"/>
                <w:b/>
              </w:rPr>
              <w:t>Size (</w:t>
            </w:r>
            <w:proofErr w:type="spellStart"/>
            <w:r w:rsidRPr="001E6259">
              <w:rPr>
                <w:rFonts w:eastAsia="Times New Roman"/>
                <w:b/>
              </w:rPr>
              <w:t>nt</w:t>
            </w:r>
            <w:proofErr w:type="spellEnd"/>
            <w:r w:rsidRPr="001E6259">
              <w:rPr>
                <w:rFonts w:eastAsia="Times New Roman"/>
                <w:b/>
              </w:rPr>
              <w:t>)</w:t>
            </w:r>
          </w:p>
        </w:tc>
        <w:tc>
          <w:tcPr>
            <w:tcW w:w="1335" w:type="dxa"/>
          </w:tcPr>
          <w:p w14:paraId="15F77F4D" w14:textId="77777777" w:rsidR="0064441F" w:rsidRPr="001E6259" w:rsidRDefault="0064441F" w:rsidP="009D52C0">
            <w:pPr>
              <w:spacing w:line="360" w:lineRule="auto"/>
              <w:rPr>
                <w:rFonts w:eastAsia="Times New Roman"/>
                <w:b/>
              </w:rPr>
            </w:pPr>
            <w:r w:rsidRPr="001E6259">
              <w:rPr>
                <w:rFonts w:eastAsia="Times New Roman"/>
                <w:b/>
              </w:rPr>
              <w:t>Median Size (</w:t>
            </w:r>
            <w:proofErr w:type="spellStart"/>
            <w:r w:rsidRPr="001E6259">
              <w:rPr>
                <w:rFonts w:eastAsia="Times New Roman"/>
                <w:b/>
              </w:rPr>
              <w:t>nt</w:t>
            </w:r>
            <w:proofErr w:type="spellEnd"/>
            <w:r w:rsidRPr="001E6259">
              <w:rPr>
                <w:rFonts w:eastAsia="Times New Roman"/>
                <w:b/>
              </w:rPr>
              <w:t>)</w:t>
            </w:r>
          </w:p>
        </w:tc>
        <w:tc>
          <w:tcPr>
            <w:tcW w:w="1336" w:type="dxa"/>
          </w:tcPr>
          <w:p w14:paraId="52DB6385" w14:textId="77777777" w:rsidR="0064441F" w:rsidRPr="001E6259" w:rsidRDefault="0064441F" w:rsidP="009D52C0">
            <w:pPr>
              <w:spacing w:line="360" w:lineRule="auto"/>
              <w:jc w:val="center"/>
              <w:rPr>
                <w:rFonts w:eastAsia="Times New Roman"/>
                <w:b/>
              </w:rPr>
            </w:pPr>
            <w:r w:rsidRPr="001E6259">
              <w:rPr>
                <w:rFonts w:eastAsia="Times New Roman"/>
                <w:b/>
              </w:rPr>
              <w:t>Largest</w:t>
            </w:r>
          </w:p>
          <w:p w14:paraId="4585C826" w14:textId="77777777" w:rsidR="0064441F" w:rsidRPr="001E6259" w:rsidRDefault="0064441F" w:rsidP="009D52C0">
            <w:pPr>
              <w:spacing w:line="360" w:lineRule="auto"/>
              <w:jc w:val="center"/>
              <w:rPr>
                <w:rFonts w:eastAsia="Times New Roman"/>
                <w:b/>
              </w:rPr>
            </w:pPr>
            <w:r w:rsidRPr="001E6259">
              <w:rPr>
                <w:rFonts w:eastAsia="Times New Roman"/>
                <w:b/>
              </w:rPr>
              <w:t>Size (</w:t>
            </w:r>
            <w:proofErr w:type="spellStart"/>
            <w:r w:rsidRPr="001E6259">
              <w:rPr>
                <w:rFonts w:eastAsia="Times New Roman"/>
                <w:b/>
              </w:rPr>
              <w:t>nt</w:t>
            </w:r>
            <w:proofErr w:type="spellEnd"/>
            <w:r w:rsidRPr="001E6259">
              <w:rPr>
                <w:rFonts w:eastAsia="Times New Roman"/>
                <w:b/>
              </w:rPr>
              <w:t>)</w:t>
            </w:r>
          </w:p>
        </w:tc>
        <w:tc>
          <w:tcPr>
            <w:tcW w:w="1336" w:type="dxa"/>
          </w:tcPr>
          <w:p w14:paraId="385C23AF" w14:textId="77777777" w:rsidR="0064441F" w:rsidRPr="001E6259" w:rsidRDefault="0064441F" w:rsidP="009D52C0">
            <w:pPr>
              <w:spacing w:line="360" w:lineRule="auto"/>
              <w:jc w:val="center"/>
              <w:rPr>
                <w:rFonts w:eastAsia="Times New Roman"/>
                <w:b/>
              </w:rPr>
            </w:pPr>
            <w:r w:rsidRPr="001E6259">
              <w:rPr>
                <w:rFonts w:eastAsia="Times New Roman"/>
                <w:b/>
              </w:rPr>
              <w:t>Median exon number</w:t>
            </w:r>
          </w:p>
        </w:tc>
        <w:tc>
          <w:tcPr>
            <w:tcW w:w="1336" w:type="dxa"/>
          </w:tcPr>
          <w:p w14:paraId="41D1CE29" w14:textId="77777777" w:rsidR="0064441F" w:rsidRPr="001E6259" w:rsidRDefault="0064441F" w:rsidP="009D52C0">
            <w:pPr>
              <w:spacing w:line="360" w:lineRule="auto"/>
              <w:jc w:val="center"/>
              <w:rPr>
                <w:rFonts w:eastAsia="Times New Roman"/>
                <w:b/>
              </w:rPr>
            </w:pPr>
            <w:r w:rsidRPr="001E6259">
              <w:rPr>
                <w:rFonts w:eastAsia="Times New Roman"/>
                <w:b/>
              </w:rPr>
              <w:t xml:space="preserve">Exon number </w:t>
            </w:r>
          </w:p>
        </w:tc>
        <w:tc>
          <w:tcPr>
            <w:tcW w:w="1336" w:type="dxa"/>
          </w:tcPr>
          <w:p w14:paraId="28DECFB7" w14:textId="77777777" w:rsidR="0064441F" w:rsidRPr="001E6259" w:rsidRDefault="0064441F" w:rsidP="009D52C0">
            <w:pPr>
              <w:spacing w:line="360" w:lineRule="auto"/>
              <w:jc w:val="center"/>
              <w:rPr>
                <w:rFonts w:eastAsia="Times New Roman"/>
                <w:b/>
              </w:rPr>
            </w:pPr>
            <w:r w:rsidRPr="001E6259">
              <w:rPr>
                <w:rFonts w:eastAsia="Times New Roman"/>
                <w:b/>
              </w:rPr>
              <w:t>Number</w:t>
            </w:r>
          </w:p>
          <w:p w14:paraId="06D36AA3" w14:textId="77777777" w:rsidR="0064441F" w:rsidRPr="001E6259" w:rsidRDefault="0064441F" w:rsidP="009D52C0">
            <w:pPr>
              <w:spacing w:line="360" w:lineRule="auto"/>
              <w:jc w:val="center"/>
              <w:rPr>
                <w:rFonts w:eastAsia="Times New Roman"/>
                <w:b/>
              </w:rPr>
            </w:pPr>
            <w:r w:rsidRPr="001E6259">
              <w:rPr>
                <w:rFonts w:eastAsia="Times New Roman"/>
                <w:b/>
              </w:rPr>
              <w:t>lncRNAs</w:t>
            </w:r>
          </w:p>
        </w:tc>
        <w:tc>
          <w:tcPr>
            <w:tcW w:w="1336" w:type="dxa"/>
          </w:tcPr>
          <w:p w14:paraId="77AEA9CE" w14:textId="77777777" w:rsidR="0064441F" w:rsidRPr="001E6259" w:rsidRDefault="0064441F" w:rsidP="009D52C0">
            <w:pPr>
              <w:spacing w:line="360" w:lineRule="auto"/>
              <w:jc w:val="center"/>
              <w:rPr>
                <w:rFonts w:eastAsia="Times New Roman"/>
                <w:b/>
              </w:rPr>
            </w:pPr>
            <w:r w:rsidRPr="001E6259">
              <w:rPr>
                <w:rFonts w:eastAsia="Times New Roman"/>
                <w:b/>
              </w:rPr>
              <w:t>Mean</w:t>
            </w:r>
          </w:p>
          <w:p w14:paraId="02B545B1" w14:textId="77777777" w:rsidR="0064441F" w:rsidRPr="001E6259" w:rsidRDefault="0064441F" w:rsidP="009D52C0">
            <w:pPr>
              <w:spacing w:line="360" w:lineRule="auto"/>
              <w:jc w:val="center"/>
              <w:rPr>
                <w:rFonts w:eastAsia="Times New Roman"/>
                <w:b/>
              </w:rPr>
            </w:pPr>
            <w:r w:rsidRPr="001E6259">
              <w:rPr>
                <w:rFonts w:eastAsia="Times New Roman"/>
                <w:b/>
              </w:rPr>
              <w:t>Size (</w:t>
            </w:r>
            <w:proofErr w:type="spellStart"/>
            <w:r w:rsidRPr="001E6259">
              <w:rPr>
                <w:rFonts w:eastAsia="Times New Roman"/>
                <w:b/>
              </w:rPr>
              <w:t>nt</w:t>
            </w:r>
            <w:proofErr w:type="spellEnd"/>
            <w:r w:rsidRPr="001E6259">
              <w:rPr>
                <w:rFonts w:eastAsia="Times New Roman"/>
                <w:b/>
              </w:rPr>
              <w:t>)</w:t>
            </w:r>
          </w:p>
        </w:tc>
      </w:tr>
      <w:tr w:rsidR="0064441F" w:rsidRPr="001E6259" w14:paraId="112C2564" w14:textId="77777777" w:rsidTr="009D52C0">
        <w:tc>
          <w:tcPr>
            <w:tcW w:w="1335" w:type="dxa"/>
          </w:tcPr>
          <w:p w14:paraId="38E85432" w14:textId="77777777" w:rsidR="0064441F" w:rsidRPr="001E6259" w:rsidRDefault="0064441F" w:rsidP="009D52C0">
            <w:pPr>
              <w:spacing w:line="360" w:lineRule="auto"/>
              <w:jc w:val="center"/>
              <w:rPr>
                <w:rFonts w:eastAsia="Times New Roman"/>
              </w:rPr>
            </w:pPr>
            <w:r w:rsidRPr="001E6259">
              <w:rPr>
                <w:rFonts w:eastAsia="Times New Roman"/>
              </w:rPr>
              <w:t>339.96</w:t>
            </w:r>
          </w:p>
        </w:tc>
        <w:tc>
          <w:tcPr>
            <w:tcW w:w="1335" w:type="dxa"/>
          </w:tcPr>
          <w:p w14:paraId="43F2C53A" w14:textId="77777777" w:rsidR="0064441F" w:rsidRPr="001E6259" w:rsidRDefault="0064441F" w:rsidP="009D52C0">
            <w:pPr>
              <w:spacing w:line="360" w:lineRule="auto"/>
              <w:jc w:val="center"/>
              <w:rPr>
                <w:rFonts w:eastAsia="Times New Roman"/>
              </w:rPr>
            </w:pPr>
            <w:r w:rsidRPr="001E6259">
              <w:rPr>
                <w:rFonts w:eastAsia="Times New Roman"/>
              </w:rPr>
              <w:t>294</w:t>
            </w:r>
          </w:p>
        </w:tc>
        <w:tc>
          <w:tcPr>
            <w:tcW w:w="1336" w:type="dxa"/>
          </w:tcPr>
          <w:p w14:paraId="53850B59" w14:textId="77777777" w:rsidR="0064441F" w:rsidRPr="001E6259" w:rsidRDefault="0064441F" w:rsidP="009D52C0">
            <w:pPr>
              <w:spacing w:line="360" w:lineRule="auto"/>
              <w:jc w:val="center"/>
              <w:rPr>
                <w:rFonts w:eastAsia="Times New Roman"/>
              </w:rPr>
            </w:pPr>
            <w:r w:rsidRPr="001E6259">
              <w:rPr>
                <w:rFonts w:eastAsia="Times New Roman"/>
              </w:rPr>
              <w:t>2134</w:t>
            </w:r>
          </w:p>
        </w:tc>
        <w:tc>
          <w:tcPr>
            <w:tcW w:w="1336" w:type="dxa"/>
          </w:tcPr>
          <w:p w14:paraId="321147E6" w14:textId="77777777" w:rsidR="0064441F" w:rsidRPr="001E6259" w:rsidRDefault="0064441F" w:rsidP="009D52C0">
            <w:pPr>
              <w:spacing w:line="360" w:lineRule="auto"/>
              <w:jc w:val="center"/>
              <w:rPr>
                <w:rFonts w:eastAsia="Times New Roman"/>
              </w:rPr>
            </w:pPr>
            <w:r w:rsidRPr="001E6259">
              <w:rPr>
                <w:rFonts w:eastAsia="Times New Roman"/>
              </w:rPr>
              <w:t>1</w:t>
            </w:r>
          </w:p>
        </w:tc>
        <w:tc>
          <w:tcPr>
            <w:tcW w:w="1336" w:type="dxa"/>
          </w:tcPr>
          <w:p w14:paraId="5C0011FA" w14:textId="77777777" w:rsidR="0064441F" w:rsidRPr="001E6259" w:rsidRDefault="0064441F" w:rsidP="009D52C0">
            <w:pPr>
              <w:spacing w:line="360" w:lineRule="auto"/>
              <w:jc w:val="center"/>
              <w:rPr>
                <w:rFonts w:eastAsia="Times New Roman"/>
              </w:rPr>
            </w:pPr>
            <w:r w:rsidRPr="001E6259">
              <w:rPr>
                <w:rFonts w:eastAsia="Times New Roman"/>
              </w:rPr>
              <w:t>1</w:t>
            </w:r>
          </w:p>
        </w:tc>
        <w:tc>
          <w:tcPr>
            <w:tcW w:w="1336" w:type="dxa"/>
          </w:tcPr>
          <w:p w14:paraId="09BE9258" w14:textId="77777777" w:rsidR="0064441F" w:rsidRPr="001E6259" w:rsidRDefault="0064441F" w:rsidP="009D52C0">
            <w:pPr>
              <w:spacing w:line="360" w:lineRule="auto"/>
              <w:jc w:val="center"/>
              <w:rPr>
                <w:rFonts w:eastAsia="Times New Roman"/>
              </w:rPr>
            </w:pPr>
            <w:r w:rsidRPr="001E6259">
              <w:rPr>
                <w:rFonts w:eastAsia="Times New Roman"/>
              </w:rPr>
              <w:t>3716</w:t>
            </w:r>
          </w:p>
        </w:tc>
        <w:tc>
          <w:tcPr>
            <w:tcW w:w="1336" w:type="dxa"/>
          </w:tcPr>
          <w:p w14:paraId="6F00EA5F" w14:textId="77777777" w:rsidR="0064441F" w:rsidRPr="001E6259" w:rsidRDefault="0064441F" w:rsidP="009D52C0">
            <w:pPr>
              <w:spacing w:line="360" w:lineRule="auto"/>
              <w:jc w:val="center"/>
              <w:rPr>
                <w:rFonts w:eastAsia="Times New Roman"/>
              </w:rPr>
            </w:pPr>
            <w:r w:rsidRPr="001E6259">
              <w:rPr>
                <w:rFonts w:eastAsia="Times New Roman"/>
              </w:rPr>
              <w:t>329.8652</w:t>
            </w:r>
          </w:p>
        </w:tc>
      </w:tr>
      <w:tr w:rsidR="0064441F" w:rsidRPr="001E6259" w14:paraId="26CFE2D9" w14:textId="77777777" w:rsidTr="009D52C0">
        <w:tc>
          <w:tcPr>
            <w:tcW w:w="1335" w:type="dxa"/>
          </w:tcPr>
          <w:p w14:paraId="65A32FF0" w14:textId="77777777" w:rsidR="0064441F" w:rsidRPr="001E6259" w:rsidRDefault="0064441F" w:rsidP="009D52C0">
            <w:pPr>
              <w:spacing w:line="360" w:lineRule="auto"/>
              <w:jc w:val="center"/>
              <w:rPr>
                <w:rFonts w:eastAsia="Times New Roman"/>
              </w:rPr>
            </w:pPr>
          </w:p>
        </w:tc>
        <w:tc>
          <w:tcPr>
            <w:tcW w:w="1335" w:type="dxa"/>
          </w:tcPr>
          <w:p w14:paraId="4072F662" w14:textId="77777777" w:rsidR="0064441F" w:rsidRPr="001E6259" w:rsidRDefault="0064441F" w:rsidP="009D52C0">
            <w:pPr>
              <w:spacing w:line="360" w:lineRule="auto"/>
              <w:jc w:val="center"/>
              <w:rPr>
                <w:rFonts w:eastAsia="Times New Roman"/>
              </w:rPr>
            </w:pPr>
          </w:p>
        </w:tc>
        <w:tc>
          <w:tcPr>
            <w:tcW w:w="1336" w:type="dxa"/>
          </w:tcPr>
          <w:p w14:paraId="1562F288" w14:textId="77777777" w:rsidR="0064441F" w:rsidRPr="001E6259" w:rsidRDefault="0064441F" w:rsidP="009D52C0">
            <w:pPr>
              <w:spacing w:line="360" w:lineRule="auto"/>
              <w:jc w:val="center"/>
              <w:rPr>
                <w:rFonts w:eastAsia="Times New Roman"/>
              </w:rPr>
            </w:pPr>
          </w:p>
        </w:tc>
        <w:tc>
          <w:tcPr>
            <w:tcW w:w="1336" w:type="dxa"/>
          </w:tcPr>
          <w:p w14:paraId="0FFF1896" w14:textId="77777777" w:rsidR="0064441F" w:rsidRPr="001E6259" w:rsidRDefault="0064441F" w:rsidP="009D52C0">
            <w:pPr>
              <w:spacing w:line="360" w:lineRule="auto"/>
              <w:jc w:val="center"/>
              <w:rPr>
                <w:rFonts w:eastAsia="Times New Roman"/>
              </w:rPr>
            </w:pPr>
          </w:p>
        </w:tc>
        <w:tc>
          <w:tcPr>
            <w:tcW w:w="1336" w:type="dxa"/>
          </w:tcPr>
          <w:p w14:paraId="485EE96A" w14:textId="77777777" w:rsidR="0064441F" w:rsidRPr="001E6259" w:rsidRDefault="0064441F" w:rsidP="009D52C0">
            <w:pPr>
              <w:spacing w:line="360" w:lineRule="auto"/>
              <w:jc w:val="center"/>
              <w:rPr>
                <w:rFonts w:eastAsia="Times New Roman"/>
              </w:rPr>
            </w:pPr>
            <w:r w:rsidRPr="001E6259">
              <w:rPr>
                <w:rFonts w:eastAsia="Times New Roman"/>
              </w:rPr>
              <w:t>2</w:t>
            </w:r>
          </w:p>
        </w:tc>
        <w:tc>
          <w:tcPr>
            <w:tcW w:w="1336" w:type="dxa"/>
          </w:tcPr>
          <w:p w14:paraId="7C2D66D0" w14:textId="77777777" w:rsidR="0064441F" w:rsidRPr="001E6259" w:rsidRDefault="0064441F" w:rsidP="009D52C0">
            <w:pPr>
              <w:spacing w:line="360" w:lineRule="auto"/>
              <w:jc w:val="center"/>
              <w:rPr>
                <w:rFonts w:eastAsia="Times New Roman"/>
              </w:rPr>
            </w:pPr>
            <w:r w:rsidRPr="001E6259">
              <w:rPr>
                <w:rFonts w:eastAsia="Times New Roman"/>
              </w:rPr>
              <w:t>482</w:t>
            </w:r>
          </w:p>
        </w:tc>
        <w:tc>
          <w:tcPr>
            <w:tcW w:w="1336" w:type="dxa"/>
          </w:tcPr>
          <w:p w14:paraId="74CE3B8F" w14:textId="77777777" w:rsidR="0064441F" w:rsidRPr="001E6259" w:rsidRDefault="0064441F" w:rsidP="009D52C0">
            <w:pPr>
              <w:spacing w:line="360" w:lineRule="auto"/>
              <w:jc w:val="center"/>
              <w:rPr>
                <w:rFonts w:eastAsia="Times New Roman"/>
              </w:rPr>
            </w:pPr>
            <w:r w:rsidRPr="001E6259">
              <w:rPr>
                <w:rFonts w:eastAsia="Times New Roman"/>
              </w:rPr>
              <w:t>380.4295</w:t>
            </w:r>
          </w:p>
        </w:tc>
      </w:tr>
      <w:tr w:rsidR="0064441F" w:rsidRPr="001E6259" w14:paraId="43A5F0C8" w14:textId="77777777" w:rsidTr="009D52C0">
        <w:tc>
          <w:tcPr>
            <w:tcW w:w="1335" w:type="dxa"/>
          </w:tcPr>
          <w:p w14:paraId="103E6917" w14:textId="77777777" w:rsidR="0064441F" w:rsidRPr="001E6259" w:rsidRDefault="0064441F" w:rsidP="009D52C0">
            <w:pPr>
              <w:spacing w:line="360" w:lineRule="auto"/>
              <w:jc w:val="center"/>
              <w:rPr>
                <w:rFonts w:eastAsia="Times New Roman"/>
              </w:rPr>
            </w:pPr>
          </w:p>
        </w:tc>
        <w:tc>
          <w:tcPr>
            <w:tcW w:w="1335" w:type="dxa"/>
          </w:tcPr>
          <w:p w14:paraId="45524B0E" w14:textId="77777777" w:rsidR="0064441F" w:rsidRPr="001E6259" w:rsidRDefault="0064441F" w:rsidP="009D52C0">
            <w:pPr>
              <w:spacing w:line="360" w:lineRule="auto"/>
              <w:jc w:val="center"/>
              <w:rPr>
                <w:rFonts w:eastAsia="Times New Roman"/>
              </w:rPr>
            </w:pPr>
          </w:p>
        </w:tc>
        <w:tc>
          <w:tcPr>
            <w:tcW w:w="1336" w:type="dxa"/>
          </w:tcPr>
          <w:p w14:paraId="01163EAB" w14:textId="77777777" w:rsidR="0064441F" w:rsidRPr="001E6259" w:rsidRDefault="0064441F" w:rsidP="009D52C0">
            <w:pPr>
              <w:spacing w:line="360" w:lineRule="auto"/>
              <w:jc w:val="center"/>
              <w:rPr>
                <w:rFonts w:eastAsia="Times New Roman"/>
              </w:rPr>
            </w:pPr>
          </w:p>
        </w:tc>
        <w:tc>
          <w:tcPr>
            <w:tcW w:w="1336" w:type="dxa"/>
          </w:tcPr>
          <w:p w14:paraId="4D6ECCC9" w14:textId="77777777" w:rsidR="0064441F" w:rsidRPr="001E6259" w:rsidRDefault="0064441F" w:rsidP="009D52C0">
            <w:pPr>
              <w:spacing w:line="360" w:lineRule="auto"/>
              <w:jc w:val="center"/>
              <w:rPr>
                <w:rFonts w:eastAsia="Times New Roman"/>
              </w:rPr>
            </w:pPr>
          </w:p>
        </w:tc>
        <w:tc>
          <w:tcPr>
            <w:tcW w:w="1336" w:type="dxa"/>
          </w:tcPr>
          <w:p w14:paraId="2EB30A5F" w14:textId="77777777" w:rsidR="0064441F" w:rsidRPr="001E6259" w:rsidRDefault="0064441F" w:rsidP="009D52C0">
            <w:pPr>
              <w:spacing w:line="360" w:lineRule="auto"/>
              <w:jc w:val="center"/>
              <w:rPr>
                <w:rFonts w:eastAsia="Times New Roman"/>
              </w:rPr>
            </w:pPr>
            <w:r w:rsidRPr="001E6259">
              <w:rPr>
                <w:rFonts w:eastAsia="Times New Roman"/>
              </w:rPr>
              <w:t>3</w:t>
            </w:r>
          </w:p>
        </w:tc>
        <w:tc>
          <w:tcPr>
            <w:tcW w:w="1336" w:type="dxa"/>
          </w:tcPr>
          <w:p w14:paraId="25A1AB2A" w14:textId="77777777" w:rsidR="0064441F" w:rsidRPr="001E6259" w:rsidRDefault="0064441F" w:rsidP="009D52C0">
            <w:pPr>
              <w:spacing w:line="360" w:lineRule="auto"/>
              <w:jc w:val="center"/>
              <w:rPr>
                <w:rFonts w:eastAsia="Times New Roman"/>
              </w:rPr>
            </w:pPr>
            <w:r w:rsidRPr="001E6259">
              <w:rPr>
                <w:rFonts w:eastAsia="Times New Roman"/>
              </w:rPr>
              <w:t>72</w:t>
            </w:r>
          </w:p>
        </w:tc>
        <w:tc>
          <w:tcPr>
            <w:tcW w:w="1336" w:type="dxa"/>
          </w:tcPr>
          <w:p w14:paraId="46303D21" w14:textId="77777777" w:rsidR="0064441F" w:rsidRPr="001E6259" w:rsidRDefault="0064441F" w:rsidP="009D52C0">
            <w:pPr>
              <w:spacing w:line="360" w:lineRule="auto"/>
              <w:jc w:val="center"/>
              <w:rPr>
                <w:rFonts w:eastAsia="Times New Roman"/>
              </w:rPr>
            </w:pPr>
            <w:r w:rsidRPr="001E6259">
              <w:rPr>
                <w:rFonts w:eastAsia="Times New Roman"/>
              </w:rPr>
              <w:t>502.6944</w:t>
            </w:r>
          </w:p>
        </w:tc>
      </w:tr>
      <w:tr w:rsidR="0064441F" w:rsidRPr="001E6259" w14:paraId="261824AC" w14:textId="77777777" w:rsidTr="009D52C0">
        <w:tc>
          <w:tcPr>
            <w:tcW w:w="1335" w:type="dxa"/>
          </w:tcPr>
          <w:p w14:paraId="501301AC" w14:textId="77777777" w:rsidR="0064441F" w:rsidRPr="001E6259" w:rsidRDefault="0064441F" w:rsidP="009D52C0">
            <w:pPr>
              <w:spacing w:line="360" w:lineRule="auto"/>
              <w:jc w:val="center"/>
              <w:rPr>
                <w:rFonts w:eastAsia="Times New Roman"/>
              </w:rPr>
            </w:pPr>
          </w:p>
        </w:tc>
        <w:tc>
          <w:tcPr>
            <w:tcW w:w="1335" w:type="dxa"/>
          </w:tcPr>
          <w:p w14:paraId="0433F53C" w14:textId="77777777" w:rsidR="0064441F" w:rsidRPr="001E6259" w:rsidRDefault="0064441F" w:rsidP="009D52C0">
            <w:pPr>
              <w:spacing w:line="360" w:lineRule="auto"/>
              <w:jc w:val="center"/>
              <w:rPr>
                <w:rFonts w:eastAsia="Times New Roman"/>
              </w:rPr>
            </w:pPr>
          </w:p>
        </w:tc>
        <w:tc>
          <w:tcPr>
            <w:tcW w:w="1336" w:type="dxa"/>
          </w:tcPr>
          <w:p w14:paraId="5853B8CA" w14:textId="77777777" w:rsidR="0064441F" w:rsidRPr="001E6259" w:rsidRDefault="0064441F" w:rsidP="009D52C0">
            <w:pPr>
              <w:spacing w:line="360" w:lineRule="auto"/>
              <w:jc w:val="center"/>
              <w:rPr>
                <w:rFonts w:eastAsia="Times New Roman"/>
              </w:rPr>
            </w:pPr>
          </w:p>
        </w:tc>
        <w:tc>
          <w:tcPr>
            <w:tcW w:w="1336" w:type="dxa"/>
          </w:tcPr>
          <w:p w14:paraId="1EE50DDA" w14:textId="77777777" w:rsidR="0064441F" w:rsidRPr="001E6259" w:rsidRDefault="0064441F" w:rsidP="009D52C0">
            <w:pPr>
              <w:spacing w:line="360" w:lineRule="auto"/>
              <w:jc w:val="center"/>
              <w:rPr>
                <w:rFonts w:eastAsia="Times New Roman"/>
              </w:rPr>
            </w:pPr>
          </w:p>
        </w:tc>
        <w:tc>
          <w:tcPr>
            <w:tcW w:w="1336" w:type="dxa"/>
          </w:tcPr>
          <w:p w14:paraId="54513052" w14:textId="77777777" w:rsidR="0064441F" w:rsidRPr="001E6259" w:rsidRDefault="0064441F" w:rsidP="009D52C0">
            <w:pPr>
              <w:spacing w:line="360" w:lineRule="auto"/>
              <w:jc w:val="center"/>
              <w:rPr>
                <w:rFonts w:eastAsia="Times New Roman"/>
              </w:rPr>
            </w:pPr>
            <w:r w:rsidRPr="001E6259">
              <w:rPr>
                <w:rFonts w:eastAsia="Times New Roman"/>
              </w:rPr>
              <w:t>4 or more</w:t>
            </w:r>
          </w:p>
        </w:tc>
        <w:tc>
          <w:tcPr>
            <w:tcW w:w="1336" w:type="dxa"/>
          </w:tcPr>
          <w:p w14:paraId="49B7A89C" w14:textId="77777777" w:rsidR="0064441F" w:rsidRPr="001E6259" w:rsidRDefault="0064441F" w:rsidP="009D52C0">
            <w:pPr>
              <w:spacing w:line="360" w:lineRule="auto"/>
              <w:jc w:val="center"/>
              <w:rPr>
                <w:rFonts w:eastAsia="Times New Roman"/>
              </w:rPr>
            </w:pPr>
            <w:r w:rsidRPr="001E6259">
              <w:rPr>
                <w:rFonts w:eastAsia="Times New Roman"/>
              </w:rPr>
              <w:t>25</w:t>
            </w:r>
          </w:p>
        </w:tc>
        <w:tc>
          <w:tcPr>
            <w:tcW w:w="1336" w:type="dxa"/>
          </w:tcPr>
          <w:p w14:paraId="25CC34F3" w14:textId="77777777" w:rsidR="0064441F" w:rsidRPr="001E6259" w:rsidRDefault="0064441F" w:rsidP="009D52C0">
            <w:pPr>
              <w:spacing w:line="360" w:lineRule="auto"/>
              <w:jc w:val="center"/>
              <w:rPr>
                <w:rFonts w:eastAsia="Times New Roman"/>
              </w:rPr>
            </w:pPr>
            <w:r w:rsidRPr="001E6259">
              <w:rPr>
                <w:rFonts w:eastAsia="Times New Roman"/>
              </w:rPr>
              <w:t>592.4</w:t>
            </w:r>
          </w:p>
        </w:tc>
      </w:tr>
    </w:tbl>
    <w:p w14:paraId="07439E86" w14:textId="77777777" w:rsidR="0064441F" w:rsidRPr="001E6259" w:rsidRDefault="0064441F" w:rsidP="0064441F">
      <w:pPr>
        <w:spacing w:line="360" w:lineRule="auto"/>
        <w:jc w:val="center"/>
        <w:rPr>
          <w:rFonts w:eastAsia="Times New Roman"/>
        </w:rPr>
      </w:pPr>
    </w:p>
    <w:p w14:paraId="48252B75" w14:textId="77777777" w:rsidR="0064441F" w:rsidRPr="001E6259" w:rsidRDefault="0064441F" w:rsidP="0064441F">
      <w:pPr>
        <w:spacing w:after="100" w:line="360" w:lineRule="auto"/>
        <w:jc w:val="both"/>
        <w:rPr>
          <w:rFonts w:eastAsia="Times New Roman"/>
          <w:b/>
          <w:bCs/>
          <w:color w:val="000000"/>
        </w:rPr>
      </w:pPr>
    </w:p>
    <w:p w14:paraId="55010ADC" w14:textId="77777777" w:rsidR="0064441F" w:rsidRPr="001E6259" w:rsidRDefault="0064441F" w:rsidP="0064441F">
      <w:pPr>
        <w:spacing w:after="100" w:line="360" w:lineRule="auto"/>
        <w:jc w:val="both"/>
        <w:rPr>
          <w:rFonts w:eastAsia="Times New Roman"/>
          <w:b/>
          <w:bCs/>
          <w:color w:val="000000"/>
        </w:rPr>
      </w:pPr>
    </w:p>
    <w:p w14:paraId="240A6E38" w14:textId="77777777" w:rsidR="0064441F" w:rsidRPr="001E6259" w:rsidRDefault="0064441F" w:rsidP="0064441F">
      <w:pPr>
        <w:spacing w:after="100" w:line="360" w:lineRule="auto"/>
        <w:jc w:val="both"/>
        <w:rPr>
          <w:rFonts w:eastAsia="Times New Roman"/>
        </w:rPr>
      </w:pPr>
      <w:r w:rsidRPr="001E6259">
        <w:rPr>
          <w:rFonts w:eastAsia="Times New Roman"/>
          <w:b/>
          <w:bCs/>
          <w:color w:val="000000"/>
        </w:rPr>
        <w:t>Table S2. Canonical genes involved in miRNAs biogenesis.</w:t>
      </w:r>
    </w:p>
    <w:p w14:paraId="3F331B15" w14:textId="77777777" w:rsidR="0064441F" w:rsidRPr="001E6259" w:rsidRDefault="0064441F" w:rsidP="0064441F">
      <w:pPr>
        <w:spacing w:line="360" w:lineRule="auto"/>
        <w:jc w:val="center"/>
        <w:rPr>
          <w:rFonts w:eastAsia="Times New Roman"/>
        </w:rPr>
      </w:pPr>
      <w:r w:rsidRPr="001E6259">
        <w:rPr>
          <w:rFonts w:eastAsia="Times New Roman"/>
          <w:noProof/>
          <w:color w:val="000000"/>
        </w:rPr>
        <w:drawing>
          <wp:inline distT="0" distB="0" distL="0" distR="0" wp14:anchorId="47CC75B3" wp14:editId="09CC1F69">
            <wp:extent cx="5943600" cy="2190750"/>
            <wp:effectExtent l="0" t="0" r="0" b="0"/>
            <wp:docPr id="2" name="Imagen 2" descr="C:\Users\Samsung\Downloads\update_figures_paper\figuras_finales_jpeg\Supp_Figures\Table 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msung\Downloads\update_figures_paper\figuras_finales_jpeg\Supp_Figures\Table S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190750"/>
                    </a:xfrm>
                    <a:prstGeom prst="rect">
                      <a:avLst/>
                    </a:prstGeom>
                    <a:noFill/>
                    <a:ln>
                      <a:noFill/>
                    </a:ln>
                  </pic:spPr>
                </pic:pic>
              </a:graphicData>
            </a:graphic>
          </wp:inline>
        </w:drawing>
      </w:r>
    </w:p>
    <w:p w14:paraId="26A2CC12" w14:textId="77777777" w:rsidR="0064441F" w:rsidRPr="001E6259" w:rsidRDefault="0064441F" w:rsidP="0064441F">
      <w:pPr>
        <w:spacing w:line="360" w:lineRule="auto"/>
        <w:jc w:val="center"/>
        <w:rPr>
          <w:rFonts w:eastAsia="Times New Roman"/>
        </w:rPr>
      </w:pPr>
    </w:p>
    <w:p w14:paraId="4E7BA767" w14:textId="77777777" w:rsidR="0064441F" w:rsidRPr="001E6259" w:rsidRDefault="0064441F" w:rsidP="0064441F">
      <w:pPr>
        <w:spacing w:line="360" w:lineRule="auto"/>
        <w:jc w:val="center"/>
        <w:rPr>
          <w:rFonts w:eastAsia="Times New Roman"/>
        </w:rPr>
      </w:pPr>
    </w:p>
    <w:p w14:paraId="78D20497" w14:textId="3438AA05" w:rsidR="0064441F" w:rsidRDefault="0064441F" w:rsidP="0064441F">
      <w:pPr>
        <w:spacing w:line="360" w:lineRule="auto"/>
        <w:rPr>
          <w:rFonts w:eastAsia="Times New Roman"/>
        </w:rPr>
      </w:pPr>
    </w:p>
    <w:p w14:paraId="7CDF4147" w14:textId="77777777" w:rsidR="0064441F" w:rsidRDefault="0064441F" w:rsidP="0064441F">
      <w:pPr>
        <w:spacing w:line="360" w:lineRule="auto"/>
        <w:rPr>
          <w:rFonts w:eastAsia="Times New Roman"/>
        </w:rPr>
      </w:pPr>
    </w:p>
    <w:p w14:paraId="2C06FD75" w14:textId="77777777" w:rsidR="0064441F" w:rsidRDefault="0064441F" w:rsidP="0064441F">
      <w:pPr>
        <w:spacing w:line="360" w:lineRule="auto"/>
        <w:rPr>
          <w:rFonts w:eastAsia="Times New Roman"/>
        </w:rPr>
      </w:pPr>
    </w:p>
    <w:p w14:paraId="23363ADC" w14:textId="77777777" w:rsidR="0064441F" w:rsidRPr="001E6259" w:rsidRDefault="0064441F" w:rsidP="0064441F">
      <w:pPr>
        <w:spacing w:line="360" w:lineRule="auto"/>
        <w:rPr>
          <w:rFonts w:eastAsia="Times New Roman"/>
        </w:rPr>
      </w:pPr>
    </w:p>
    <w:p w14:paraId="727CDD17" w14:textId="77777777" w:rsidR="0064441F" w:rsidRPr="001E6259" w:rsidRDefault="0064441F" w:rsidP="0064441F">
      <w:pPr>
        <w:spacing w:line="360" w:lineRule="auto"/>
        <w:jc w:val="both"/>
        <w:rPr>
          <w:rFonts w:eastAsia="Times New Roman"/>
        </w:rPr>
      </w:pPr>
      <w:r w:rsidRPr="001E6259">
        <w:rPr>
          <w:rFonts w:eastAsia="Times New Roman"/>
          <w:b/>
          <w:bCs/>
          <w:color w:val="000000"/>
        </w:rPr>
        <w:lastRenderedPageBreak/>
        <w:t xml:space="preserve">Table S3. Ectopic gametic precursors and female gametophytes in the ovule of </w:t>
      </w:r>
      <w:r w:rsidRPr="001E6259">
        <w:rPr>
          <w:rFonts w:eastAsia="Times New Roman"/>
          <w:b/>
          <w:bCs/>
          <w:i/>
          <w:iCs/>
          <w:color w:val="000000"/>
        </w:rPr>
        <w:t>Utricularia gibba</w:t>
      </w:r>
      <w:r w:rsidRPr="001E6259">
        <w:rPr>
          <w:rFonts w:eastAsia="Times New Roman"/>
          <w:b/>
          <w:bCs/>
          <w:color w:val="000000"/>
        </w:rPr>
        <w:t>.</w:t>
      </w:r>
      <w:r w:rsidRPr="001E6259">
        <w:rPr>
          <w:rFonts w:eastAsia="Times New Roman"/>
          <w:b/>
          <w:bCs/>
          <w:color w:val="000000"/>
          <w:sz w:val="20"/>
          <w:szCs w:val="20"/>
        </w:rPr>
        <w:t xml:space="preserve"> ________________________________________________________________________________________</w:t>
      </w:r>
    </w:p>
    <w:p w14:paraId="3B3AAD06" w14:textId="77777777" w:rsidR="0064441F" w:rsidRPr="001E6259" w:rsidRDefault="0064441F" w:rsidP="0064441F">
      <w:pPr>
        <w:spacing w:line="360" w:lineRule="auto"/>
        <w:ind w:left="2160" w:firstLine="720"/>
        <w:jc w:val="both"/>
        <w:rPr>
          <w:rFonts w:eastAsia="Times New Roman"/>
          <w:sz w:val="28"/>
        </w:rPr>
      </w:pPr>
      <w:r w:rsidRPr="001E6259">
        <w:rPr>
          <w:rFonts w:eastAsia="Times New Roman"/>
          <w:color w:val="000000"/>
          <w:sz w:val="20"/>
          <w:szCs w:val="20"/>
        </w:rPr>
        <w:t xml:space="preserve">                             </w:t>
      </w:r>
      <w:r w:rsidRPr="001E6259">
        <w:rPr>
          <w:rFonts w:eastAsia="Times New Roman"/>
          <w:color w:val="000000"/>
          <w:sz w:val="20"/>
          <w:szCs w:val="20"/>
        </w:rPr>
        <w:tab/>
      </w:r>
      <w:r w:rsidRPr="001E6259">
        <w:rPr>
          <w:rFonts w:eastAsia="Times New Roman"/>
          <w:color w:val="000000"/>
          <w:sz w:val="20"/>
          <w:szCs w:val="20"/>
        </w:rPr>
        <w:tab/>
      </w:r>
      <w:r w:rsidRPr="001E6259">
        <w:rPr>
          <w:rFonts w:eastAsia="Times New Roman"/>
          <w:color w:val="000000"/>
          <w:szCs w:val="20"/>
        </w:rPr>
        <w:t>Ovary size (mm)</w:t>
      </w:r>
      <w:r w:rsidRPr="001E6259">
        <w:rPr>
          <w:rFonts w:eastAsia="Times New Roman"/>
          <w:color w:val="000000"/>
          <w:szCs w:val="20"/>
        </w:rPr>
        <w:tab/>
        <w:t xml:space="preserve"> </w:t>
      </w:r>
    </w:p>
    <w:p w14:paraId="550C87C9" w14:textId="77777777" w:rsidR="0064441F" w:rsidRPr="001E6259" w:rsidRDefault="0064441F" w:rsidP="0064441F">
      <w:pPr>
        <w:spacing w:line="360" w:lineRule="auto"/>
        <w:jc w:val="both"/>
        <w:rPr>
          <w:rFonts w:eastAsia="Times New Roman"/>
          <w:sz w:val="28"/>
        </w:rPr>
      </w:pP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p>
    <w:p w14:paraId="5CC2043B" w14:textId="77777777" w:rsidR="0064441F" w:rsidRPr="001E6259" w:rsidRDefault="0064441F" w:rsidP="0064441F">
      <w:pPr>
        <w:spacing w:line="360" w:lineRule="auto"/>
        <w:ind w:left="3600" w:firstLine="720"/>
        <w:jc w:val="both"/>
        <w:rPr>
          <w:rFonts w:eastAsia="Times New Roman"/>
          <w:sz w:val="28"/>
        </w:rPr>
      </w:pPr>
      <w:r w:rsidRPr="001E6259">
        <w:rPr>
          <w:rFonts w:eastAsia="Times New Roman"/>
          <w:color w:val="000000"/>
          <w:szCs w:val="20"/>
        </w:rPr>
        <w:t>0.3 – 0.5</w:t>
      </w:r>
      <w:r w:rsidRPr="001E6259">
        <w:rPr>
          <w:rFonts w:eastAsia="Times New Roman"/>
          <w:color w:val="000000"/>
          <w:sz w:val="14"/>
          <w:szCs w:val="12"/>
          <w:vertAlign w:val="superscript"/>
        </w:rPr>
        <w:t>a</w:t>
      </w:r>
      <w:r w:rsidRPr="001E6259">
        <w:rPr>
          <w:rFonts w:eastAsia="Times New Roman"/>
          <w:color w:val="000000"/>
          <w:szCs w:val="20"/>
        </w:rPr>
        <w:t xml:space="preserve"> </w:t>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t>0.5 – 1</w:t>
      </w:r>
      <w:r w:rsidRPr="001E6259">
        <w:rPr>
          <w:rFonts w:eastAsia="Times New Roman"/>
          <w:color w:val="000000"/>
          <w:sz w:val="14"/>
          <w:szCs w:val="12"/>
          <w:vertAlign w:val="superscript"/>
        </w:rPr>
        <w:t>a</w:t>
      </w:r>
      <w:r w:rsidRPr="001E6259">
        <w:rPr>
          <w:rFonts w:eastAsia="Times New Roman"/>
          <w:color w:val="000000"/>
          <w:szCs w:val="20"/>
        </w:rPr>
        <w:t xml:space="preserve"> </w:t>
      </w:r>
    </w:p>
    <w:p w14:paraId="1A293FF3" w14:textId="77777777" w:rsidR="0064441F" w:rsidRPr="001E6259" w:rsidRDefault="0064441F" w:rsidP="0064441F">
      <w:pPr>
        <w:spacing w:line="360" w:lineRule="auto"/>
        <w:jc w:val="both"/>
        <w:rPr>
          <w:rFonts w:eastAsia="Times New Roman"/>
          <w:sz w:val="28"/>
        </w:rPr>
      </w:pPr>
      <w:r w:rsidRPr="001E6259">
        <w:rPr>
          <w:rFonts w:eastAsia="Times New Roman"/>
          <w:color w:val="000000"/>
          <w:szCs w:val="20"/>
        </w:rPr>
        <w:t>___________________________________________________________________________</w:t>
      </w:r>
    </w:p>
    <w:p w14:paraId="3B871210" w14:textId="77777777" w:rsidR="0064441F" w:rsidRPr="001E6259" w:rsidRDefault="0064441F" w:rsidP="0064441F">
      <w:pPr>
        <w:spacing w:line="360" w:lineRule="auto"/>
        <w:jc w:val="both"/>
        <w:rPr>
          <w:rFonts w:eastAsia="Times New Roman"/>
          <w:sz w:val="28"/>
        </w:rPr>
      </w:pPr>
      <w:r w:rsidRPr="001E6259">
        <w:rPr>
          <w:rFonts w:eastAsia="Times New Roman"/>
          <w:color w:val="000000"/>
          <w:szCs w:val="20"/>
        </w:rPr>
        <w:t>One gametic precursor</w:t>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t xml:space="preserve"> 51.4% (73)</w:t>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t xml:space="preserve">              </w:t>
      </w:r>
    </w:p>
    <w:p w14:paraId="47CCBFE9" w14:textId="77777777" w:rsidR="0064441F" w:rsidRPr="001E6259" w:rsidRDefault="0064441F" w:rsidP="0064441F">
      <w:pPr>
        <w:spacing w:line="360" w:lineRule="auto"/>
        <w:rPr>
          <w:rFonts w:eastAsia="Times New Roman"/>
          <w:sz w:val="28"/>
        </w:rPr>
      </w:pPr>
    </w:p>
    <w:p w14:paraId="14EB2E28" w14:textId="77777777" w:rsidR="0064441F" w:rsidRPr="001E6259" w:rsidRDefault="0064441F" w:rsidP="0064441F">
      <w:pPr>
        <w:spacing w:line="360" w:lineRule="auto"/>
        <w:jc w:val="both"/>
        <w:rPr>
          <w:rFonts w:eastAsia="Times New Roman"/>
          <w:sz w:val="28"/>
        </w:rPr>
      </w:pPr>
      <w:r w:rsidRPr="001E6259">
        <w:rPr>
          <w:rFonts w:eastAsia="Times New Roman"/>
          <w:color w:val="000000"/>
          <w:szCs w:val="20"/>
        </w:rPr>
        <w:t>Several gametic precursors</w:t>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t xml:space="preserve"> 42.9% (61)</w:t>
      </w:r>
    </w:p>
    <w:p w14:paraId="1D566636" w14:textId="77777777" w:rsidR="0064441F" w:rsidRPr="001E6259" w:rsidRDefault="0064441F" w:rsidP="0064441F">
      <w:pPr>
        <w:spacing w:line="360" w:lineRule="auto"/>
        <w:rPr>
          <w:rFonts w:eastAsia="Times New Roman"/>
          <w:sz w:val="28"/>
        </w:rPr>
      </w:pPr>
    </w:p>
    <w:p w14:paraId="169BE981" w14:textId="77777777" w:rsidR="0064441F" w:rsidRPr="001E6259" w:rsidRDefault="0064441F" w:rsidP="0064441F">
      <w:pPr>
        <w:spacing w:line="360" w:lineRule="auto"/>
        <w:jc w:val="both"/>
        <w:rPr>
          <w:rFonts w:eastAsia="Times New Roman"/>
          <w:sz w:val="28"/>
        </w:rPr>
      </w:pPr>
      <w:r w:rsidRPr="001E6259">
        <w:rPr>
          <w:rFonts w:eastAsia="Times New Roman"/>
          <w:color w:val="000000"/>
          <w:szCs w:val="20"/>
        </w:rPr>
        <w:t>One female gametophyte</w:t>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t>40.7% (31)</w:t>
      </w:r>
    </w:p>
    <w:p w14:paraId="7659C311" w14:textId="77777777" w:rsidR="0064441F" w:rsidRPr="001E6259" w:rsidRDefault="0064441F" w:rsidP="0064441F">
      <w:pPr>
        <w:spacing w:line="360" w:lineRule="auto"/>
        <w:rPr>
          <w:rFonts w:eastAsia="Times New Roman"/>
          <w:sz w:val="28"/>
        </w:rPr>
      </w:pPr>
    </w:p>
    <w:p w14:paraId="6C9D4EC5" w14:textId="77777777" w:rsidR="0064441F" w:rsidRPr="001E6259" w:rsidRDefault="0064441F" w:rsidP="0064441F">
      <w:pPr>
        <w:spacing w:line="360" w:lineRule="auto"/>
        <w:jc w:val="both"/>
        <w:rPr>
          <w:rFonts w:eastAsia="Times New Roman"/>
          <w:sz w:val="28"/>
        </w:rPr>
      </w:pPr>
      <w:r w:rsidRPr="001E6259">
        <w:rPr>
          <w:rFonts w:eastAsia="Times New Roman"/>
          <w:color w:val="000000"/>
          <w:szCs w:val="20"/>
        </w:rPr>
        <w:t>One female gametophyte</w:t>
      </w:r>
    </w:p>
    <w:p w14:paraId="69E3D579" w14:textId="77777777" w:rsidR="0064441F" w:rsidRPr="001E6259" w:rsidRDefault="0064441F" w:rsidP="0064441F">
      <w:pPr>
        <w:spacing w:line="360" w:lineRule="auto"/>
        <w:jc w:val="both"/>
        <w:rPr>
          <w:rFonts w:eastAsia="Times New Roman"/>
          <w:sz w:val="28"/>
        </w:rPr>
      </w:pPr>
      <w:r w:rsidRPr="001E6259">
        <w:rPr>
          <w:rFonts w:eastAsia="Times New Roman"/>
          <w:color w:val="000000"/>
          <w:szCs w:val="20"/>
        </w:rPr>
        <w:t>+ ectopic gametic precursors</w:t>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t>22.4% (17)</w:t>
      </w:r>
    </w:p>
    <w:p w14:paraId="6481712D" w14:textId="77777777" w:rsidR="0064441F" w:rsidRPr="001E6259" w:rsidRDefault="0064441F" w:rsidP="0064441F">
      <w:pPr>
        <w:spacing w:line="360" w:lineRule="auto"/>
        <w:rPr>
          <w:rFonts w:eastAsia="Times New Roman"/>
          <w:sz w:val="28"/>
        </w:rPr>
      </w:pPr>
    </w:p>
    <w:p w14:paraId="54DFAC9B" w14:textId="77777777" w:rsidR="0064441F" w:rsidRPr="001E6259" w:rsidRDefault="0064441F" w:rsidP="0064441F">
      <w:pPr>
        <w:spacing w:line="360" w:lineRule="auto"/>
        <w:jc w:val="both"/>
        <w:rPr>
          <w:rFonts w:eastAsia="Times New Roman"/>
          <w:sz w:val="28"/>
        </w:rPr>
      </w:pPr>
      <w:r w:rsidRPr="001E6259">
        <w:rPr>
          <w:rFonts w:eastAsia="Times New Roman"/>
          <w:color w:val="000000"/>
          <w:szCs w:val="20"/>
        </w:rPr>
        <w:t>Two female gametophytes</w:t>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t>23.7% (18)</w:t>
      </w:r>
    </w:p>
    <w:p w14:paraId="23ED874F" w14:textId="77777777" w:rsidR="0064441F" w:rsidRPr="001E6259" w:rsidRDefault="0064441F" w:rsidP="0064441F">
      <w:pPr>
        <w:spacing w:line="360" w:lineRule="auto"/>
        <w:rPr>
          <w:rFonts w:eastAsia="Times New Roman"/>
          <w:sz w:val="28"/>
        </w:rPr>
      </w:pPr>
    </w:p>
    <w:p w14:paraId="6A6CA2BC" w14:textId="77777777" w:rsidR="0064441F" w:rsidRPr="001E6259" w:rsidRDefault="0064441F" w:rsidP="0064441F">
      <w:pPr>
        <w:spacing w:line="360" w:lineRule="auto"/>
        <w:jc w:val="both"/>
        <w:rPr>
          <w:rFonts w:eastAsia="Times New Roman"/>
          <w:sz w:val="28"/>
        </w:rPr>
      </w:pPr>
      <w:r w:rsidRPr="001E6259">
        <w:rPr>
          <w:rFonts w:eastAsia="Times New Roman"/>
          <w:color w:val="000000"/>
          <w:szCs w:val="20"/>
        </w:rPr>
        <w:t>Degenerated female gametophyte</w:t>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t>13.1% (10)</w:t>
      </w:r>
    </w:p>
    <w:p w14:paraId="64ABF99C" w14:textId="77777777" w:rsidR="0064441F" w:rsidRPr="001E6259" w:rsidRDefault="0064441F" w:rsidP="0064441F">
      <w:pPr>
        <w:spacing w:line="360" w:lineRule="auto"/>
        <w:rPr>
          <w:rFonts w:eastAsia="Times New Roman"/>
          <w:sz w:val="28"/>
        </w:rPr>
      </w:pPr>
    </w:p>
    <w:p w14:paraId="3493C46B" w14:textId="77777777" w:rsidR="0064441F" w:rsidRPr="001E6259" w:rsidRDefault="0064441F" w:rsidP="0064441F">
      <w:pPr>
        <w:spacing w:line="360" w:lineRule="auto"/>
        <w:jc w:val="both"/>
        <w:rPr>
          <w:rFonts w:eastAsia="Times New Roman"/>
          <w:sz w:val="28"/>
        </w:rPr>
      </w:pPr>
      <w:proofErr w:type="spellStart"/>
      <w:r w:rsidRPr="001E6259">
        <w:rPr>
          <w:rFonts w:eastAsia="Times New Roman"/>
          <w:color w:val="000000"/>
          <w:szCs w:val="20"/>
        </w:rPr>
        <w:t>ND</w:t>
      </w:r>
      <w:r w:rsidRPr="001E6259">
        <w:rPr>
          <w:rFonts w:eastAsia="Times New Roman"/>
          <w:color w:val="000000"/>
          <w:sz w:val="14"/>
          <w:szCs w:val="12"/>
          <w:vertAlign w:val="superscript"/>
        </w:rPr>
        <w:t>b</w:t>
      </w:r>
      <w:proofErr w:type="spellEnd"/>
      <w:r w:rsidRPr="001E6259">
        <w:rPr>
          <w:rFonts w:eastAsia="Times New Roman"/>
          <w:color w:val="000000"/>
          <w:sz w:val="14"/>
          <w:szCs w:val="12"/>
          <w:vertAlign w:val="superscript"/>
        </w:rPr>
        <w:t xml:space="preserve">   </w:t>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t xml:space="preserve"> 5.7% (8)</w:t>
      </w:r>
    </w:p>
    <w:p w14:paraId="23E3022F" w14:textId="77777777" w:rsidR="0064441F" w:rsidRPr="001E6259" w:rsidRDefault="0064441F" w:rsidP="0064441F">
      <w:pPr>
        <w:spacing w:line="360" w:lineRule="auto"/>
        <w:rPr>
          <w:rFonts w:eastAsia="Times New Roman"/>
          <w:sz w:val="28"/>
        </w:rPr>
      </w:pPr>
    </w:p>
    <w:p w14:paraId="56D77939" w14:textId="77777777" w:rsidR="0064441F" w:rsidRPr="001E6259" w:rsidRDefault="0064441F" w:rsidP="0064441F">
      <w:pPr>
        <w:spacing w:line="360" w:lineRule="auto"/>
        <w:jc w:val="both"/>
        <w:rPr>
          <w:rFonts w:eastAsia="Times New Roman"/>
          <w:sz w:val="28"/>
        </w:rPr>
      </w:pPr>
      <w:r w:rsidRPr="001E6259">
        <w:rPr>
          <w:rFonts w:eastAsia="Times New Roman"/>
          <w:color w:val="000000"/>
          <w:szCs w:val="20"/>
        </w:rPr>
        <w:t xml:space="preserve">Total </w:t>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t xml:space="preserve"> 100% (142)</w:t>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r>
      <w:r w:rsidRPr="001E6259">
        <w:rPr>
          <w:rFonts w:eastAsia="Times New Roman"/>
          <w:color w:val="000000"/>
          <w:szCs w:val="20"/>
        </w:rPr>
        <w:tab/>
        <w:t>100% (76)</w:t>
      </w:r>
    </w:p>
    <w:p w14:paraId="235269BC" w14:textId="77777777" w:rsidR="0064441F" w:rsidRPr="001E6259" w:rsidRDefault="0064441F" w:rsidP="0064441F">
      <w:pPr>
        <w:spacing w:line="360" w:lineRule="auto"/>
        <w:jc w:val="both"/>
        <w:rPr>
          <w:rFonts w:eastAsia="Times New Roman"/>
          <w:sz w:val="28"/>
        </w:rPr>
      </w:pPr>
      <w:r w:rsidRPr="001E6259">
        <w:rPr>
          <w:rFonts w:eastAsia="Times New Roman"/>
          <w:b/>
          <w:bCs/>
          <w:color w:val="000000"/>
          <w:szCs w:val="20"/>
        </w:rPr>
        <w:t>_____________________________________________________________________________</w:t>
      </w:r>
    </w:p>
    <w:p w14:paraId="2BAF0599" w14:textId="77777777" w:rsidR="0064441F" w:rsidRPr="001E6259" w:rsidRDefault="0064441F" w:rsidP="0064441F">
      <w:pPr>
        <w:spacing w:line="360" w:lineRule="auto"/>
        <w:rPr>
          <w:rFonts w:eastAsia="Times New Roman"/>
          <w:sz w:val="28"/>
        </w:rPr>
      </w:pPr>
    </w:p>
    <w:p w14:paraId="7476902D" w14:textId="77777777" w:rsidR="0064441F" w:rsidRPr="001E6259" w:rsidRDefault="0064441F" w:rsidP="0064441F">
      <w:pPr>
        <w:spacing w:line="360" w:lineRule="auto"/>
        <w:jc w:val="both"/>
        <w:rPr>
          <w:rFonts w:eastAsia="Times New Roman"/>
          <w:sz w:val="28"/>
        </w:rPr>
      </w:pPr>
      <w:r w:rsidRPr="001E6259">
        <w:rPr>
          <w:rFonts w:eastAsia="Times New Roman"/>
          <w:color w:val="000000"/>
          <w:sz w:val="14"/>
          <w:szCs w:val="12"/>
          <w:vertAlign w:val="superscript"/>
        </w:rPr>
        <w:t xml:space="preserve">a </w:t>
      </w:r>
      <w:r w:rsidRPr="001E6259">
        <w:rPr>
          <w:rFonts w:eastAsia="Times New Roman"/>
          <w:color w:val="000000"/>
          <w:szCs w:val="20"/>
        </w:rPr>
        <w:t>Brackets indicate the number of ovules observed with a given phenotype.</w:t>
      </w:r>
    </w:p>
    <w:p w14:paraId="2C5483FC" w14:textId="1A815154" w:rsidR="0064441F" w:rsidRPr="0064441F" w:rsidRDefault="0064441F" w:rsidP="0064441F">
      <w:pPr>
        <w:spacing w:line="360" w:lineRule="auto"/>
        <w:jc w:val="both"/>
        <w:rPr>
          <w:rFonts w:eastAsia="Times New Roman"/>
          <w:color w:val="000000"/>
          <w:szCs w:val="20"/>
        </w:rPr>
      </w:pPr>
      <w:r w:rsidRPr="001E6259">
        <w:rPr>
          <w:rFonts w:eastAsia="Times New Roman"/>
          <w:color w:val="000000"/>
          <w:sz w:val="14"/>
          <w:szCs w:val="12"/>
          <w:vertAlign w:val="superscript"/>
        </w:rPr>
        <w:t>b</w:t>
      </w:r>
      <w:r w:rsidRPr="001E6259">
        <w:rPr>
          <w:rFonts w:eastAsia="Times New Roman"/>
          <w:color w:val="000000"/>
          <w:szCs w:val="20"/>
        </w:rPr>
        <w:t xml:space="preserve"> Not determined</w:t>
      </w:r>
    </w:p>
    <w:sectPr w:rsidR="0064441F" w:rsidRPr="0064441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607"/>
    <w:rsid w:val="00002712"/>
    <w:rsid w:val="00053607"/>
    <w:rsid w:val="00267212"/>
    <w:rsid w:val="00274228"/>
    <w:rsid w:val="00445009"/>
    <w:rsid w:val="0064441F"/>
    <w:rsid w:val="0085020C"/>
    <w:rsid w:val="008A7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CF640"/>
  <w15:chartTrackingRefBased/>
  <w15:docId w15:val="{DB928D7D-5627-406E-8C87-DD477E0EE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607"/>
    <w:pPr>
      <w:spacing w:after="0" w:line="240" w:lineRule="auto"/>
    </w:pPr>
    <w:rPr>
      <w:rFonts w:ascii="Times New Roman" w:eastAsiaTheme="minorEastAsia" w:hAnsi="Times New Roman"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53607"/>
    <w:rPr>
      <w:color w:val="0000FF"/>
      <w:u w:val="single"/>
    </w:rPr>
  </w:style>
  <w:style w:type="table" w:styleId="TableGrid">
    <w:name w:val="Table Grid"/>
    <w:basedOn w:val="TableNormal"/>
    <w:uiPriority w:val="39"/>
    <w:rsid w:val="00644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hyperlink" Target="http://hmmer.org/" TargetMode="External"/><Relationship Id="rId7" Type="http://schemas.openxmlformats.org/officeDocument/2006/relationships/image" Target="media/image3.tif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tiff"/><Relationship Id="rId2" Type="http://schemas.openxmlformats.org/officeDocument/2006/relationships/settings" Target="settings.xml"/><Relationship Id="rId16" Type="http://schemas.openxmlformats.org/officeDocument/2006/relationships/image" Target="media/image12.tiff"/><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7.jpeg"/><Relationship Id="rId24" Type="http://schemas.openxmlformats.org/officeDocument/2006/relationships/image" Target="media/image19.tiff"/><Relationship Id="rId5" Type="http://schemas.openxmlformats.org/officeDocument/2006/relationships/image" Target="media/image1.jpeg"/><Relationship Id="rId15" Type="http://schemas.openxmlformats.org/officeDocument/2006/relationships/image" Target="media/image11.tiff"/><Relationship Id="rId23" Type="http://schemas.openxmlformats.org/officeDocument/2006/relationships/image" Target="media/image18.tiff"/><Relationship Id="rId28" Type="http://schemas.openxmlformats.org/officeDocument/2006/relationships/glossaryDocument" Target="glossary/document.xml"/><Relationship Id="rId10" Type="http://schemas.openxmlformats.org/officeDocument/2006/relationships/image" Target="media/image6.jpeg"/><Relationship Id="rId19" Type="http://schemas.openxmlformats.org/officeDocument/2006/relationships/image" Target="media/image15.tiff"/><Relationship Id="rId4" Type="http://schemas.openxmlformats.org/officeDocument/2006/relationships/hyperlink" Target="mailto:luis.herrera-estrella@ttu.edu"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B1BF94283554962BC8AD49EE62BAD96"/>
        <w:category>
          <w:name w:val="General"/>
          <w:gallery w:val="placeholder"/>
        </w:category>
        <w:types>
          <w:type w:val="bbPlcHdr"/>
        </w:types>
        <w:behaviors>
          <w:behavior w:val="content"/>
        </w:behaviors>
        <w:guid w:val="{5698434A-09D8-4970-B3DC-1471C57AC19E}"/>
      </w:docPartPr>
      <w:docPartBody>
        <w:p w:rsidR="004C77FC" w:rsidRDefault="00CD0A1A" w:rsidP="00CD0A1A">
          <w:pPr>
            <w:pStyle w:val="4B1BF94283554962BC8AD49EE62BAD96"/>
          </w:pPr>
          <w:r w:rsidRPr="00F550E9">
            <w:rPr>
              <w:rStyle w:val="PlaceholderText"/>
              <w:rFonts w:cstheme="minorHAnsi"/>
            </w:rPr>
            <w:t>Click here to enter text.</w:t>
          </w:r>
        </w:p>
      </w:docPartBody>
    </w:docPart>
    <w:docPart>
      <w:docPartPr>
        <w:name w:val="4210FFCA5927494281F5DAE8C9859581"/>
        <w:category>
          <w:name w:val="General"/>
          <w:gallery w:val="placeholder"/>
        </w:category>
        <w:types>
          <w:type w:val="bbPlcHdr"/>
        </w:types>
        <w:behaviors>
          <w:behavior w:val="content"/>
        </w:behaviors>
        <w:guid w:val="{6A1355D6-854F-4F4A-8BE9-7A32EF107D9D}"/>
      </w:docPartPr>
      <w:docPartBody>
        <w:p w:rsidR="004C77FC" w:rsidRDefault="00CD0A1A" w:rsidP="00CD0A1A">
          <w:pPr>
            <w:pStyle w:val="4210FFCA5927494281F5DAE8C9859581"/>
          </w:pPr>
          <w:r w:rsidRPr="00F550E9">
            <w:rPr>
              <w:rStyle w:val="PlaceholderText"/>
              <w:rFonts w:cstheme="minorHAnsi"/>
            </w:rPr>
            <w:t>Click here to enter text.</w:t>
          </w:r>
        </w:p>
      </w:docPartBody>
    </w:docPart>
    <w:docPart>
      <w:docPartPr>
        <w:name w:val="BCF064F3B26C4CF4BB7B022AE7CB5EBF"/>
        <w:category>
          <w:name w:val="General"/>
          <w:gallery w:val="placeholder"/>
        </w:category>
        <w:types>
          <w:type w:val="bbPlcHdr"/>
        </w:types>
        <w:behaviors>
          <w:behavior w:val="content"/>
        </w:behaviors>
        <w:guid w:val="{90048F4D-3F13-48AC-8783-113A92FBEEAA}"/>
      </w:docPartPr>
      <w:docPartBody>
        <w:p w:rsidR="004C77FC" w:rsidRDefault="00CD0A1A" w:rsidP="00CD0A1A">
          <w:pPr>
            <w:pStyle w:val="BCF064F3B26C4CF4BB7B022AE7CB5EBF"/>
          </w:pPr>
          <w:r w:rsidRPr="002E57B7">
            <w:rPr>
              <w:rStyle w:val="PlaceholderText"/>
              <w:rFonts w:cs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A1A"/>
    <w:rsid w:val="00053300"/>
    <w:rsid w:val="004C77FC"/>
    <w:rsid w:val="00A943A7"/>
    <w:rsid w:val="00B14169"/>
    <w:rsid w:val="00CD0A1A"/>
    <w:rsid w:val="00F935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0A1A"/>
    <w:rPr>
      <w:color w:val="808080"/>
    </w:rPr>
  </w:style>
  <w:style w:type="paragraph" w:customStyle="1" w:styleId="4B1BF94283554962BC8AD49EE62BAD96">
    <w:name w:val="4B1BF94283554962BC8AD49EE62BAD96"/>
    <w:rsid w:val="00CD0A1A"/>
  </w:style>
  <w:style w:type="paragraph" w:customStyle="1" w:styleId="4210FFCA5927494281F5DAE8C9859581">
    <w:name w:val="4210FFCA5927494281F5DAE8C9859581"/>
    <w:rsid w:val="00CD0A1A"/>
  </w:style>
  <w:style w:type="paragraph" w:customStyle="1" w:styleId="BCF064F3B26C4CF4BB7B022AE7CB5EBF">
    <w:name w:val="BCF064F3B26C4CF4BB7B022AE7CB5EBF"/>
    <w:rsid w:val="00CD0A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4482</Words>
  <Characters>25551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Cervantes</dc:creator>
  <cp:keywords/>
  <dc:description/>
  <cp:lastModifiedBy>Luis Rafael Herrera Estrella</cp:lastModifiedBy>
  <cp:revision>2</cp:revision>
  <dcterms:created xsi:type="dcterms:W3CDTF">2021-02-16T22:45:00Z</dcterms:created>
  <dcterms:modified xsi:type="dcterms:W3CDTF">2021-02-16T22:45:00Z</dcterms:modified>
</cp:coreProperties>
</file>