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916" w:rsidRPr="00751916" w:rsidRDefault="00751916" w:rsidP="00FF28A8">
      <w:pPr>
        <w:pStyle w:val="TableTitle"/>
        <w:tabs>
          <w:tab w:val="left" w:pos="9498"/>
        </w:tabs>
        <w:rPr>
          <w:b/>
        </w:rPr>
      </w:pPr>
      <w:r>
        <w:rPr>
          <w:b/>
        </w:rPr>
        <w:t>************THIS FILE IS NOT MEANT TO BE FOR PUBLICATION****************</w:t>
      </w:r>
      <w:bookmarkStart w:id="0" w:name="_GoBack"/>
      <w:bookmarkEnd w:id="0"/>
    </w:p>
    <w:p w:rsidR="00D87AF7" w:rsidRDefault="00D87AF7" w:rsidP="00FF28A8">
      <w:pPr>
        <w:pStyle w:val="TableTitle"/>
        <w:tabs>
          <w:tab w:val="left" w:pos="9498"/>
        </w:tabs>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rsidR="004A32C8" w:rsidRPr="003F652A" w:rsidRDefault="004A32C8" w:rsidP="005B567D">
      <w:pPr>
        <w:pStyle w:val="TableTitle"/>
      </w:pPr>
    </w:p>
    <w:tbl>
      <w:tblPr>
        <w:tblW w:w="16083" w:type="dxa"/>
        <w:tblBorders>
          <w:top w:val="single" w:sz="4" w:space="0" w:color="auto"/>
          <w:bottom w:val="single" w:sz="4" w:space="0" w:color="auto"/>
          <w:insideH w:val="single" w:sz="4" w:space="0" w:color="auto"/>
        </w:tblBorders>
        <w:tblLook w:val="0000" w:firstRow="0" w:lastRow="0" w:firstColumn="0" w:lastColumn="0" w:noHBand="0" w:noVBand="0"/>
      </w:tblPr>
      <w:tblGrid>
        <w:gridCol w:w="1949"/>
        <w:gridCol w:w="716"/>
        <w:gridCol w:w="4237"/>
        <w:gridCol w:w="468"/>
        <w:gridCol w:w="109"/>
        <w:gridCol w:w="518"/>
        <w:gridCol w:w="4727"/>
        <w:gridCol w:w="577"/>
        <w:gridCol w:w="127"/>
        <w:gridCol w:w="2078"/>
        <w:gridCol w:w="577"/>
      </w:tblGrid>
      <w:tr w:rsidR="00FF28A8" w:rsidRPr="0022554A" w:rsidTr="00595C7B">
        <w:trPr>
          <w:gridAfter w:val="2"/>
          <w:wAfter w:w="2655" w:type="dxa"/>
        </w:trPr>
        <w:tc>
          <w:tcPr>
            <w:tcW w:w="0" w:type="auto"/>
          </w:tcPr>
          <w:p w:rsidR="00191A23" w:rsidRPr="0022554A" w:rsidRDefault="00191A23" w:rsidP="0022554A">
            <w:pPr>
              <w:tabs>
                <w:tab w:val="left" w:pos="5400"/>
              </w:tabs>
              <w:rPr>
                <w:sz w:val="20"/>
              </w:rPr>
            </w:pPr>
            <w:bookmarkStart w:id="1" w:name="bold1" w:colFirst="1" w:colLast="1"/>
            <w:bookmarkStart w:id="2" w:name="italic1" w:colFirst="0" w:colLast="0"/>
            <w:bookmarkStart w:id="3" w:name="bold2" w:colFirst="2" w:colLast="2"/>
            <w:bookmarkStart w:id="4" w:name="italic2" w:colFirst="1" w:colLast="1"/>
            <w:bookmarkStart w:id="5" w:name="bold3" w:colFirst="3" w:colLast="3"/>
            <w:bookmarkStart w:id="6" w:name="italic3" w:colFirst="2" w:colLast="2"/>
            <w:bookmarkStart w:id="7" w:name="bold4" w:colFirst="4" w:colLast="4"/>
            <w:bookmarkStart w:id="8" w:name="italic4" w:colFirst="3" w:colLast="3"/>
            <w:bookmarkStart w:id="9" w:name="italic5" w:colFirst="4" w:colLast="4"/>
          </w:p>
        </w:tc>
        <w:tc>
          <w:tcPr>
            <w:tcW w:w="0" w:type="auto"/>
          </w:tcPr>
          <w:p w:rsidR="00191A23" w:rsidRPr="0022554A" w:rsidRDefault="00191A23" w:rsidP="0022554A">
            <w:pPr>
              <w:pStyle w:val="TableHeader"/>
              <w:tabs>
                <w:tab w:val="left" w:pos="5400"/>
              </w:tabs>
              <w:jc w:val="center"/>
              <w:rPr>
                <w:bCs/>
                <w:sz w:val="20"/>
              </w:rPr>
            </w:pPr>
            <w:r w:rsidRPr="0022554A">
              <w:rPr>
                <w:bCs/>
                <w:sz w:val="20"/>
              </w:rPr>
              <w:t>Item No</w:t>
            </w:r>
            <w:r>
              <w:rPr>
                <w:bCs/>
                <w:sz w:val="20"/>
              </w:rPr>
              <w:t>.</w:t>
            </w:r>
          </w:p>
        </w:tc>
        <w:tc>
          <w:tcPr>
            <w:tcW w:w="4705" w:type="dxa"/>
            <w:gridSpan w:val="2"/>
            <w:vAlign w:val="bottom"/>
          </w:tcPr>
          <w:p w:rsidR="00191A23" w:rsidRPr="0022554A" w:rsidRDefault="00191A23" w:rsidP="0022554A">
            <w:pPr>
              <w:pStyle w:val="TableHeader"/>
              <w:tabs>
                <w:tab w:val="left" w:pos="5400"/>
              </w:tabs>
              <w:jc w:val="center"/>
              <w:rPr>
                <w:bCs/>
                <w:sz w:val="20"/>
              </w:rPr>
            </w:pPr>
            <w:r w:rsidRPr="0022554A">
              <w:rPr>
                <w:bCs/>
                <w:sz w:val="20"/>
              </w:rPr>
              <w:t>Recommendation</w:t>
            </w:r>
          </w:p>
        </w:tc>
        <w:tc>
          <w:tcPr>
            <w:tcW w:w="627" w:type="dxa"/>
            <w:gridSpan w:val="2"/>
          </w:tcPr>
          <w:p w:rsidR="00191A23" w:rsidRPr="0022554A" w:rsidRDefault="00191A23" w:rsidP="00976EE1">
            <w:pPr>
              <w:pStyle w:val="TableHeader"/>
              <w:tabs>
                <w:tab w:val="left" w:pos="5400"/>
              </w:tabs>
              <w:jc w:val="center"/>
              <w:rPr>
                <w:bCs/>
                <w:sz w:val="20"/>
              </w:rPr>
            </w:pPr>
            <w:r>
              <w:rPr>
                <w:bCs/>
                <w:sz w:val="20"/>
              </w:rPr>
              <w:t xml:space="preserve">Page </w:t>
            </w:r>
            <w:r>
              <w:rPr>
                <w:bCs/>
                <w:sz w:val="20"/>
              </w:rPr>
              <w:br/>
              <w:t>No.</w:t>
            </w:r>
          </w:p>
        </w:tc>
        <w:tc>
          <w:tcPr>
            <w:tcW w:w="5431" w:type="dxa"/>
            <w:gridSpan w:val="3"/>
          </w:tcPr>
          <w:p w:rsidR="00191A23" w:rsidRPr="0022554A" w:rsidRDefault="00517788" w:rsidP="00517788">
            <w:pPr>
              <w:pStyle w:val="TableHeader"/>
              <w:tabs>
                <w:tab w:val="left" w:pos="5400"/>
              </w:tabs>
              <w:jc w:val="center"/>
              <w:rPr>
                <w:bCs/>
                <w:sz w:val="20"/>
              </w:rPr>
            </w:pPr>
            <w:r>
              <w:rPr>
                <w:bCs/>
                <w:sz w:val="20"/>
              </w:rPr>
              <w:t>Relevant t</w:t>
            </w:r>
            <w:r w:rsidR="00191A23">
              <w:rPr>
                <w:bCs/>
                <w:sz w:val="20"/>
              </w:rPr>
              <w:t>ext from manuscript</w:t>
            </w:r>
          </w:p>
        </w:tc>
      </w:tr>
      <w:tr w:rsidR="00FF28A8" w:rsidRPr="0022554A" w:rsidTr="00595C7B">
        <w:trPr>
          <w:gridAfter w:val="2"/>
          <w:wAfter w:w="2655" w:type="dxa"/>
        </w:trPr>
        <w:tc>
          <w:tcPr>
            <w:tcW w:w="0" w:type="auto"/>
            <w:vMerge w:val="restart"/>
          </w:tcPr>
          <w:p w:rsidR="00191A23" w:rsidRPr="002602FB" w:rsidRDefault="00191A23" w:rsidP="0022554A">
            <w:pPr>
              <w:tabs>
                <w:tab w:val="left" w:pos="5400"/>
              </w:tabs>
              <w:rPr>
                <w:b/>
                <w:bCs/>
                <w:sz w:val="20"/>
              </w:rPr>
            </w:pPr>
            <w:bookmarkStart w:id="10" w:name="bold5"/>
            <w:bookmarkStart w:id="11" w:name="italic6"/>
            <w:bookmarkEnd w:id="1"/>
            <w:bookmarkEnd w:id="2"/>
            <w:bookmarkEnd w:id="3"/>
            <w:bookmarkEnd w:id="4"/>
            <w:bookmarkEnd w:id="5"/>
            <w:bookmarkEnd w:id="6"/>
            <w:bookmarkEnd w:id="7"/>
            <w:bookmarkEnd w:id="8"/>
            <w:bookmarkEnd w:id="9"/>
            <w:r w:rsidRPr="002602FB">
              <w:rPr>
                <w:b/>
                <w:sz w:val="20"/>
              </w:rPr>
              <w:t>Title and abstract</w:t>
            </w:r>
            <w:bookmarkEnd w:id="10"/>
            <w:bookmarkEnd w:id="11"/>
          </w:p>
        </w:tc>
        <w:tc>
          <w:tcPr>
            <w:tcW w:w="0" w:type="auto"/>
            <w:vMerge w:val="restart"/>
          </w:tcPr>
          <w:p w:rsidR="00191A23" w:rsidRPr="0022554A" w:rsidRDefault="00191A23" w:rsidP="0022554A">
            <w:pPr>
              <w:tabs>
                <w:tab w:val="left" w:pos="5400"/>
              </w:tabs>
              <w:jc w:val="center"/>
              <w:rPr>
                <w:sz w:val="20"/>
              </w:rPr>
            </w:pPr>
            <w:r w:rsidRPr="0022554A">
              <w:rPr>
                <w:sz w:val="20"/>
              </w:rPr>
              <w:t>1</w:t>
            </w:r>
          </w:p>
        </w:tc>
        <w:tc>
          <w:tcPr>
            <w:tcW w:w="4705" w:type="dxa"/>
            <w:gridSpan w:val="2"/>
          </w:tcPr>
          <w:p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627" w:type="dxa"/>
            <w:gridSpan w:val="2"/>
          </w:tcPr>
          <w:p w:rsidR="00191A23" w:rsidRPr="0022554A" w:rsidRDefault="00FF28A8" w:rsidP="0022554A">
            <w:pPr>
              <w:tabs>
                <w:tab w:val="left" w:pos="5400"/>
              </w:tabs>
              <w:rPr>
                <w:sz w:val="20"/>
              </w:rPr>
            </w:pPr>
            <w:r>
              <w:rPr>
                <w:sz w:val="20"/>
              </w:rPr>
              <w:t xml:space="preserve">      2         </w:t>
            </w:r>
          </w:p>
        </w:tc>
        <w:tc>
          <w:tcPr>
            <w:tcW w:w="5431" w:type="dxa"/>
            <w:gridSpan w:val="3"/>
          </w:tcPr>
          <w:p w:rsidR="00191A23" w:rsidRPr="0022554A" w:rsidRDefault="00FF28A8" w:rsidP="00FF28A8">
            <w:pPr>
              <w:tabs>
                <w:tab w:val="left" w:pos="5400"/>
              </w:tabs>
              <w:rPr>
                <w:sz w:val="20"/>
              </w:rPr>
            </w:pPr>
            <w:r w:rsidRPr="00FF28A8">
              <w:rPr>
                <w:bCs/>
                <w:szCs w:val="24"/>
              </w:rPr>
              <w:t>Using a historical cohort design</w:t>
            </w:r>
            <w:r>
              <w:rPr>
                <w:b/>
                <w:bCs/>
                <w:szCs w:val="24"/>
              </w:rPr>
              <w:t xml:space="preserve"> </w:t>
            </w:r>
            <w:r>
              <w:rPr>
                <w:szCs w:val="24"/>
              </w:rPr>
              <w:t>w</w:t>
            </w:r>
            <w:r w:rsidRPr="005422CA">
              <w:rPr>
                <w:szCs w:val="24"/>
              </w:rPr>
              <w:t xml:space="preserve">e </w:t>
            </w:r>
            <w:r>
              <w:rPr>
                <w:szCs w:val="24"/>
              </w:rPr>
              <w:t>recruited</w:t>
            </w:r>
            <w:r w:rsidRPr="005422CA">
              <w:rPr>
                <w:szCs w:val="24"/>
              </w:rPr>
              <w:t xml:space="preserve">149 patients with a mean (and standard deviation) age of 19.7 </w:t>
            </w:r>
            <w:bookmarkStart w:id="12" w:name="_Hlk477449738"/>
            <w:r w:rsidRPr="005422CA">
              <w:rPr>
                <w:szCs w:val="24"/>
              </w:rPr>
              <w:t xml:space="preserve">(3.8) </w:t>
            </w:r>
            <w:bookmarkEnd w:id="12"/>
            <w:r w:rsidRPr="005422CA">
              <w:rPr>
                <w:szCs w:val="24"/>
              </w:rPr>
              <w:t>years with osteonecrosis following an open or closed reduction (1995-2005)</w:t>
            </w:r>
            <w:r>
              <w:rPr>
                <w:szCs w:val="24"/>
              </w:rPr>
              <w:t>;</w:t>
            </w:r>
            <w:r w:rsidRPr="005422CA">
              <w:rPr>
                <w:szCs w:val="24"/>
              </w:rPr>
              <w:t xml:space="preserve"> and </w:t>
            </w:r>
            <w:r>
              <w:rPr>
                <w:szCs w:val="24"/>
              </w:rPr>
              <w:t xml:space="preserve">included </w:t>
            </w:r>
            <w:r w:rsidRPr="005422CA">
              <w:rPr>
                <w:szCs w:val="24"/>
              </w:rPr>
              <w:t>32 age-matched patients without osteonecrosis</w:t>
            </w:r>
            <w:r>
              <w:rPr>
                <w:szCs w:val="24"/>
              </w:rPr>
              <w:t xml:space="preserve"> for cross-sectional comparison</w:t>
            </w:r>
            <w:r w:rsidRPr="005422CA">
              <w:rPr>
                <w:szCs w:val="24"/>
              </w:rPr>
              <w:t>.</w:t>
            </w:r>
          </w:p>
        </w:tc>
      </w:tr>
      <w:tr w:rsidR="00FF28A8" w:rsidRPr="0022554A" w:rsidTr="00595C7B">
        <w:trPr>
          <w:gridAfter w:val="2"/>
          <w:wAfter w:w="2655" w:type="dxa"/>
        </w:trPr>
        <w:tc>
          <w:tcPr>
            <w:tcW w:w="0" w:type="auto"/>
            <w:vMerge/>
          </w:tcPr>
          <w:p w:rsidR="00191A23" w:rsidRPr="0022554A" w:rsidRDefault="00191A23" w:rsidP="0022554A">
            <w:pPr>
              <w:tabs>
                <w:tab w:val="left" w:pos="5400"/>
              </w:tabs>
              <w:rPr>
                <w:bCs/>
                <w:sz w:val="20"/>
              </w:rPr>
            </w:pPr>
            <w:bookmarkStart w:id="13" w:name="bold6" w:colFirst="0" w:colLast="0"/>
            <w:bookmarkStart w:id="14" w:name="italic7" w:colFirst="0" w:colLast="0"/>
          </w:p>
        </w:tc>
        <w:tc>
          <w:tcPr>
            <w:tcW w:w="0" w:type="auto"/>
            <w:vMerge/>
          </w:tcPr>
          <w:p w:rsidR="00191A23" w:rsidRPr="0022554A" w:rsidRDefault="00191A23" w:rsidP="0022554A">
            <w:pPr>
              <w:tabs>
                <w:tab w:val="left" w:pos="5400"/>
              </w:tabs>
              <w:jc w:val="center"/>
              <w:rPr>
                <w:sz w:val="20"/>
              </w:rPr>
            </w:pPr>
          </w:p>
        </w:tc>
        <w:tc>
          <w:tcPr>
            <w:tcW w:w="4705" w:type="dxa"/>
            <w:gridSpan w:val="2"/>
          </w:tcPr>
          <w:p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627" w:type="dxa"/>
            <w:gridSpan w:val="2"/>
          </w:tcPr>
          <w:p w:rsidR="00191A23" w:rsidRPr="0022554A" w:rsidRDefault="00FF28A8" w:rsidP="00FF28A8">
            <w:pPr>
              <w:tabs>
                <w:tab w:val="left" w:pos="5400"/>
              </w:tabs>
              <w:jc w:val="center"/>
              <w:rPr>
                <w:sz w:val="20"/>
              </w:rPr>
            </w:pPr>
            <w:r>
              <w:rPr>
                <w:sz w:val="20"/>
              </w:rPr>
              <w:t>2</w:t>
            </w:r>
          </w:p>
        </w:tc>
        <w:tc>
          <w:tcPr>
            <w:tcW w:w="5431" w:type="dxa"/>
            <w:gridSpan w:val="3"/>
          </w:tcPr>
          <w:p w:rsidR="00FF28A8" w:rsidRPr="005422CA" w:rsidRDefault="00FF28A8" w:rsidP="00FF28A8">
            <w:pPr>
              <w:autoSpaceDE w:val="0"/>
              <w:autoSpaceDN w:val="0"/>
              <w:adjustRightInd w:val="0"/>
              <w:spacing w:line="240" w:lineRule="auto"/>
              <w:rPr>
                <w:szCs w:val="24"/>
              </w:rPr>
            </w:pPr>
            <w:r w:rsidRPr="005422CA">
              <w:rPr>
                <w:szCs w:val="24"/>
              </w:rPr>
              <w:t xml:space="preserve">We determined the association between the patient-reported outcomes and radiographic severity of osteonecrosis using mixed-effects regression analysis adjusted for age and acetabular dysplasia at study assessment, and number of prior operations. </w:t>
            </w:r>
          </w:p>
          <w:p w:rsidR="00191A23" w:rsidRPr="0022554A" w:rsidRDefault="00FF28A8" w:rsidP="00FF28A8">
            <w:pPr>
              <w:tabs>
                <w:tab w:val="left" w:pos="5400"/>
              </w:tabs>
              <w:rPr>
                <w:sz w:val="20"/>
              </w:rPr>
            </w:pPr>
            <w:r w:rsidRPr="005422CA">
              <w:rPr>
                <w:szCs w:val="24"/>
              </w:rPr>
              <w:t>Aff</w:t>
            </w:r>
            <w:r>
              <w:rPr>
                <w:szCs w:val="24"/>
              </w:rPr>
              <w:t>e</w:t>
            </w:r>
            <w:r w:rsidRPr="005422CA">
              <w:rPr>
                <w:szCs w:val="24"/>
              </w:rPr>
              <w:t>cted patients demonstrated minimal physical disability, a normal quality of life but reduced hip function.</w:t>
            </w:r>
          </w:p>
        </w:tc>
      </w:tr>
      <w:tr w:rsidR="00191A23" w:rsidRPr="0022554A" w:rsidTr="00595C7B">
        <w:trPr>
          <w:gridAfter w:val="4"/>
          <w:wAfter w:w="3359" w:type="dxa"/>
        </w:trPr>
        <w:tc>
          <w:tcPr>
            <w:tcW w:w="6902" w:type="dxa"/>
            <w:gridSpan w:val="3"/>
          </w:tcPr>
          <w:p w:rsidR="00191A23" w:rsidRPr="0022554A" w:rsidRDefault="00191A23" w:rsidP="0022554A">
            <w:pPr>
              <w:pStyle w:val="TableSubHead"/>
              <w:tabs>
                <w:tab w:val="left" w:pos="5400"/>
              </w:tabs>
              <w:rPr>
                <w:sz w:val="20"/>
              </w:rPr>
            </w:pPr>
            <w:bookmarkStart w:id="15" w:name="bold7"/>
            <w:bookmarkStart w:id="16" w:name="italic8"/>
            <w:bookmarkEnd w:id="13"/>
            <w:bookmarkEnd w:id="14"/>
            <w:r w:rsidRPr="0022554A">
              <w:rPr>
                <w:sz w:val="20"/>
              </w:rPr>
              <w:t>Introduction</w:t>
            </w:r>
          </w:p>
        </w:tc>
        <w:bookmarkEnd w:id="15"/>
        <w:bookmarkEnd w:id="16"/>
        <w:tc>
          <w:tcPr>
            <w:tcW w:w="5822" w:type="dxa"/>
            <w:gridSpan w:val="4"/>
          </w:tcPr>
          <w:p w:rsidR="00191A23" w:rsidRPr="0022554A" w:rsidRDefault="00191A23" w:rsidP="0022554A">
            <w:pPr>
              <w:pStyle w:val="TableSubHead"/>
              <w:tabs>
                <w:tab w:val="left" w:pos="5400"/>
              </w:tabs>
              <w:rPr>
                <w:sz w:val="20"/>
              </w:rPr>
            </w:pPr>
          </w:p>
        </w:tc>
      </w:tr>
      <w:tr w:rsidR="00FF28A8" w:rsidRPr="0022554A" w:rsidTr="00595C7B">
        <w:trPr>
          <w:gridAfter w:val="2"/>
          <w:wAfter w:w="2655" w:type="dxa"/>
        </w:trPr>
        <w:tc>
          <w:tcPr>
            <w:tcW w:w="0" w:type="auto"/>
          </w:tcPr>
          <w:p w:rsidR="00191A23" w:rsidRPr="0022554A" w:rsidRDefault="00191A23" w:rsidP="0022554A">
            <w:pPr>
              <w:tabs>
                <w:tab w:val="left" w:pos="5400"/>
              </w:tabs>
              <w:rPr>
                <w:bCs/>
                <w:sz w:val="20"/>
              </w:rPr>
            </w:pPr>
            <w:bookmarkStart w:id="17" w:name="bold8"/>
            <w:bookmarkStart w:id="18" w:name="italic9"/>
            <w:r w:rsidRPr="0022554A">
              <w:rPr>
                <w:bCs/>
                <w:sz w:val="20"/>
              </w:rPr>
              <w:t>Background/</w:t>
            </w:r>
            <w:bookmarkStart w:id="19" w:name="bold9"/>
            <w:bookmarkStart w:id="20" w:name="italic10"/>
            <w:bookmarkEnd w:id="17"/>
            <w:bookmarkEnd w:id="18"/>
            <w:r w:rsidRPr="0022554A">
              <w:rPr>
                <w:bCs/>
                <w:sz w:val="20"/>
              </w:rPr>
              <w:t>rationale</w:t>
            </w:r>
            <w:bookmarkEnd w:id="19"/>
            <w:bookmarkEnd w:id="20"/>
          </w:p>
        </w:tc>
        <w:tc>
          <w:tcPr>
            <w:tcW w:w="0" w:type="auto"/>
          </w:tcPr>
          <w:p w:rsidR="00191A23" w:rsidRPr="0022554A" w:rsidRDefault="00191A23" w:rsidP="0022554A">
            <w:pPr>
              <w:tabs>
                <w:tab w:val="left" w:pos="5400"/>
              </w:tabs>
              <w:jc w:val="center"/>
              <w:rPr>
                <w:sz w:val="20"/>
              </w:rPr>
            </w:pPr>
            <w:r w:rsidRPr="0022554A">
              <w:rPr>
                <w:sz w:val="20"/>
              </w:rPr>
              <w:t>2</w:t>
            </w:r>
          </w:p>
        </w:tc>
        <w:tc>
          <w:tcPr>
            <w:tcW w:w="4705" w:type="dxa"/>
            <w:gridSpan w:val="2"/>
          </w:tcPr>
          <w:p w:rsidR="00191A23" w:rsidRPr="0022554A" w:rsidRDefault="00191A23" w:rsidP="0022554A">
            <w:pPr>
              <w:tabs>
                <w:tab w:val="left" w:pos="5400"/>
              </w:tabs>
              <w:rPr>
                <w:sz w:val="20"/>
              </w:rPr>
            </w:pPr>
            <w:r w:rsidRPr="0022554A">
              <w:rPr>
                <w:sz w:val="20"/>
              </w:rPr>
              <w:t>Explain the scientific background and rationale for the investigation being reported</w:t>
            </w:r>
          </w:p>
        </w:tc>
        <w:tc>
          <w:tcPr>
            <w:tcW w:w="627" w:type="dxa"/>
            <w:gridSpan w:val="2"/>
          </w:tcPr>
          <w:p w:rsidR="00191A23" w:rsidRPr="0022554A" w:rsidRDefault="00FF28A8" w:rsidP="0022554A">
            <w:pPr>
              <w:tabs>
                <w:tab w:val="left" w:pos="5400"/>
              </w:tabs>
              <w:rPr>
                <w:sz w:val="20"/>
              </w:rPr>
            </w:pPr>
            <w:r>
              <w:rPr>
                <w:sz w:val="20"/>
              </w:rPr>
              <w:t>3</w:t>
            </w:r>
          </w:p>
        </w:tc>
        <w:tc>
          <w:tcPr>
            <w:tcW w:w="5431" w:type="dxa"/>
            <w:gridSpan w:val="3"/>
          </w:tcPr>
          <w:p w:rsidR="00FF28A8" w:rsidRDefault="00FF28A8" w:rsidP="0022554A">
            <w:pPr>
              <w:tabs>
                <w:tab w:val="left" w:pos="5400"/>
              </w:tabs>
              <w:rPr>
                <w:szCs w:val="24"/>
                <w:lang w:eastAsia="en-GB"/>
              </w:rPr>
            </w:pPr>
            <w:r w:rsidRPr="005422CA">
              <w:rPr>
                <w:szCs w:val="24"/>
                <w:lang w:eastAsia="en-GB"/>
              </w:rPr>
              <w:t xml:space="preserve">In previous research we determined the meaning of these four patterns of anatomical </w:t>
            </w:r>
            <w:r>
              <w:rPr>
                <w:szCs w:val="24"/>
                <w:lang w:eastAsia="en-GB"/>
              </w:rPr>
              <w:t>abnormality</w:t>
            </w:r>
            <w:r w:rsidRPr="005422CA">
              <w:rPr>
                <w:szCs w:val="24"/>
                <w:lang w:eastAsia="en-GB"/>
              </w:rPr>
              <w:t xml:space="preserve"> in terms of patient-based outcomes</w:t>
            </w:r>
          </w:p>
          <w:p w:rsidR="00FF28A8" w:rsidRDefault="00FF28A8" w:rsidP="0022554A">
            <w:pPr>
              <w:tabs>
                <w:tab w:val="left" w:pos="5400"/>
              </w:tabs>
              <w:rPr>
                <w:szCs w:val="24"/>
                <w:lang w:val="en-US" w:eastAsia="en-GB"/>
              </w:rPr>
            </w:pPr>
            <w:r w:rsidRPr="005422CA">
              <w:rPr>
                <w:szCs w:val="24"/>
                <w:lang w:eastAsia="en-GB"/>
              </w:rPr>
              <w:t>However, none of these grades of osteonecrosis was associated with physical disability or with a reduced quality of life. We concluded that the good results were largely explained by the young patient age of 14 years. We suggested that the patients’ function would decline with increasing age, and that another study involving older patients would be needed to substantiate this hypothesis.</w:t>
            </w:r>
          </w:p>
          <w:p w:rsidR="00191A23" w:rsidRPr="0022554A" w:rsidRDefault="00FF28A8" w:rsidP="0022554A">
            <w:pPr>
              <w:tabs>
                <w:tab w:val="left" w:pos="5400"/>
              </w:tabs>
              <w:rPr>
                <w:sz w:val="20"/>
              </w:rPr>
            </w:pPr>
            <w:r w:rsidRPr="00AC4591">
              <w:rPr>
                <w:szCs w:val="24"/>
                <w:lang w:val="en-US" w:eastAsia="en-GB"/>
              </w:rPr>
              <w:t xml:space="preserve">Further longitudinal evaluation of our existing cohort, </w:t>
            </w:r>
            <w:r>
              <w:rPr>
                <w:szCs w:val="24"/>
                <w:lang w:val="en-US" w:eastAsia="en-GB"/>
              </w:rPr>
              <w:lastRenderedPageBreak/>
              <w:t xml:space="preserve">combined with novel cross-sectional investigation of older patients treated for DDH in childhood, would for the first time, </w:t>
            </w:r>
            <w:r w:rsidRPr="00AC4591">
              <w:rPr>
                <w:szCs w:val="24"/>
                <w:lang w:val="en-US" w:eastAsia="en-GB"/>
              </w:rPr>
              <w:t xml:space="preserve">capture </w:t>
            </w:r>
            <w:r w:rsidRPr="0062440F">
              <w:rPr>
                <w:szCs w:val="24"/>
                <w:lang w:val="en-US" w:eastAsia="en-GB"/>
              </w:rPr>
              <w:t xml:space="preserve">functional outcomes in the </w:t>
            </w:r>
            <w:r w:rsidRPr="00AC4591">
              <w:rPr>
                <w:szCs w:val="24"/>
                <w:lang w:val="en-US" w:eastAsia="en-GB"/>
              </w:rPr>
              <w:t xml:space="preserve">transition </w:t>
            </w:r>
            <w:r>
              <w:rPr>
                <w:szCs w:val="24"/>
                <w:lang w:val="en-US" w:eastAsia="en-GB"/>
              </w:rPr>
              <w:t>to</w:t>
            </w:r>
            <w:r w:rsidRPr="00AC4591">
              <w:rPr>
                <w:szCs w:val="24"/>
                <w:lang w:val="en-US" w:eastAsia="en-GB"/>
              </w:rPr>
              <w:t xml:space="preserve"> adulthood</w:t>
            </w:r>
            <w:r w:rsidRPr="0062440F">
              <w:rPr>
                <w:szCs w:val="24"/>
                <w:lang w:val="en-US" w:eastAsia="en-GB"/>
              </w:rPr>
              <w:t>.</w:t>
            </w:r>
          </w:p>
        </w:tc>
      </w:tr>
      <w:tr w:rsidR="00FF28A8" w:rsidRPr="0022554A" w:rsidTr="00595C7B">
        <w:trPr>
          <w:gridAfter w:val="2"/>
          <w:wAfter w:w="2655" w:type="dxa"/>
        </w:trPr>
        <w:tc>
          <w:tcPr>
            <w:tcW w:w="0" w:type="auto"/>
          </w:tcPr>
          <w:p w:rsidR="00191A23" w:rsidRPr="0022554A" w:rsidRDefault="00191A23" w:rsidP="0022554A">
            <w:pPr>
              <w:tabs>
                <w:tab w:val="left" w:pos="5400"/>
              </w:tabs>
              <w:rPr>
                <w:bCs/>
                <w:sz w:val="20"/>
              </w:rPr>
            </w:pPr>
            <w:bookmarkStart w:id="21" w:name="bold10" w:colFirst="0" w:colLast="0"/>
            <w:bookmarkStart w:id="22" w:name="italic11" w:colFirst="0" w:colLast="0"/>
            <w:r w:rsidRPr="0022554A">
              <w:rPr>
                <w:bCs/>
                <w:sz w:val="20"/>
              </w:rPr>
              <w:lastRenderedPageBreak/>
              <w:t>Objectives</w:t>
            </w:r>
          </w:p>
        </w:tc>
        <w:tc>
          <w:tcPr>
            <w:tcW w:w="0" w:type="auto"/>
          </w:tcPr>
          <w:p w:rsidR="00191A23" w:rsidRPr="0022554A" w:rsidRDefault="00191A23" w:rsidP="0022554A">
            <w:pPr>
              <w:tabs>
                <w:tab w:val="left" w:pos="5400"/>
              </w:tabs>
              <w:jc w:val="center"/>
              <w:rPr>
                <w:sz w:val="20"/>
              </w:rPr>
            </w:pPr>
            <w:r w:rsidRPr="0022554A">
              <w:rPr>
                <w:sz w:val="20"/>
              </w:rPr>
              <w:t>3</w:t>
            </w:r>
          </w:p>
        </w:tc>
        <w:tc>
          <w:tcPr>
            <w:tcW w:w="4705" w:type="dxa"/>
            <w:gridSpan w:val="2"/>
          </w:tcPr>
          <w:p w:rsidR="00191A23" w:rsidRPr="0022554A" w:rsidRDefault="00191A23" w:rsidP="00FF28A8">
            <w:pPr>
              <w:tabs>
                <w:tab w:val="right" w:pos="7815"/>
              </w:tabs>
              <w:rPr>
                <w:sz w:val="20"/>
              </w:rPr>
            </w:pPr>
            <w:r w:rsidRPr="0022554A">
              <w:rPr>
                <w:sz w:val="20"/>
              </w:rPr>
              <w:t xml:space="preserve">State specific objectives, including any </w:t>
            </w:r>
            <w:proofErr w:type="spellStart"/>
            <w:r w:rsidRPr="0022554A">
              <w:rPr>
                <w:sz w:val="20"/>
              </w:rPr>
              <w:t>prespecified</w:t>
            </w:r>
            <w:proofErr w:type="spellEnd"/>
            <w:r w:rsidRPr="0022554A">
              <w:rPr>
                <w:sz w:val="20"/>
              </w:rPr>
              <w:t xml:space="preserve"> hypotheses</w:t>
            </w:r>
            <w:r w:rsidR="00FF28A8">
              <w:rPr>
                <w:sz w:val="20"/>
              </w:rPr>
              <w:tab/>
              <w:t>4</w:t>
            </w:r>
          </w:p>
        </w:tc>
        <w:tc>
          <w:tcPr>
            <w:tcW w:w="627" w:type="dxa"/>
            <w:gridSpan w:val="2"/>
          </w:tcPr>
          <w:p w:rsidR="00191A23" w:rsidRPr="0022554A" w:rsidRDefault="00FF28A8" w:rsidP="0022554A">
            <w:pPr>
              <w:tabs>
                <w:tab w:val="left" w:pos="5400"/>
              </w:tabs>
              <w:rPr>
                <w:sz w:val="20"/>
              </w:rPr>
            </w:pPr>
            <w:r>
              <w:rPr>
                <w:sz w:val="20"/>
              </w:rPr>
              <w:t>3</w:t>
            </w:r>
          </w:p>
        </w:tc>
        <w:tc>
          <w:tcPr>
            <w:tcW w:w="5431" w:type="dxa"/>
            <w:gridSpan w:val="3"/>
          </w:tcPr>
          <w:p w:rsidR="00FF28A8" w:rsidRPr="005422CA" w:rsidRDefault="00FF28A8" w:rsidP="00FF28A8">
            <w:pPr>
              <w:spacing w:line="240" w:lineRule="auto"/>
              <w:rPr>
                <w:szCs w:val="24"/>
                <w:lang w:eastAsia="en-GB"/>
              </w:rPr>
            </w:pPr>
            <w:r w:rsidRPr="005422CA">
              <w:rPr>
                <w:szCs w:val="24"/>
                <w:lang w:eastAsia="en-GB"/>
              </w:rPr>
              <w:t xml:space="preserve">The aims of the present study were </w:t>
            </w:r>
            <w:r>
              <w:rPr>
                <w:szCs w:val="24"/>
                <w:lang w:eastAsia="en-GB"/>
              </w:rPr>
              <w:t xml:space="preserve">therefore </w:t>
            </w:r>
            <w:r w:rsidRPr="005422CA">
              <w:rPr>
                <w:szCs w:val="24"/>
                <w:lang w:eastAsia="en-GB"/>
              </w:rPr>
              <w:t xml:space="preserve">to ascertain the patient-reported outcomes hip function, physical function, and health status in </w:t>
            </w:r>
            <w:r>
              <w:rPr>
                <w:szCs w:val="24"/>
                <w:lang w:eastAsia="en-GB"/>
              </w:rPr>
              <w:t xml:space="preserve">adolescents and </w:t>
            </w:r>
            <w:r w:rsidRPr="005422CA">
              <w:rPr>
                <w:szCs w:val="24"/>
                <w:lang w:eastAsia="en-GB"/>
              </w:rPr>
              <w:t xml:space="preserve">young adults with osteonecrosis secondary to DDH; and how patients with osteonecrosis change over time in terms of these outcomes. </w:t>
            </w:r>
          </w:p>
          <w:p w:rsidR="00191A23" w:rsidRPr="0022554A" w:rsidRDefault="00191A23" w:rsidP="00FF28A8">
            <w:pPr>
              <w:tabs>
                <w:tab w:val="left" w:pos="5400"/>
              </w:tabs>
              <w:spacing w:line="240" w:lineRule="auto"/>
              <w:rPr>
                <w:sz w:val="20"/>
              </w:rPr>
            </w:pPr>
          </w:p>
        </w:tc>
      </w:tr>
      <w:tr w:rsidR="00191A23" w:rsidRPr="0022554A" w:rsidTr="00595C7B">
        <w:trPr>
          <w:gridAfter w:val="4"/>
          <w:wAfter w:w="3359" w:type="dxa"/>
        </w:trPr>
        <w:tc>
          <w:tcPr>
            <w:tcW w:w="6902" w:type="dxa"/>
            <w:gridSpan w:val="3"/>
          </w:tcPr>
          <w:p w:rsidR="00191A23" w:rsidRPr="0022554A" w:rsidRDefault="00191A23" w:rsidP="0022554A">
            <w:pPr>
              <w:pStyle w:val="TableSubHead"/>
              <w:tabs>
                <w:tab w:val="left" w:pos="5400"/>
              </w:tabs>
              <w:rPr>
                <w:sz w:val="20"/>
              </w:rPr>
            </w:pPr>
            <w:bookmarkStart w:id="23" w:name="bold11"/>
            <w:bookmarkStart w:id="24" w:name="italic12"/>
            <w:bookmarkEnd w:id="21"/>
            <w:bookmarkEnd w:id="22"/>
            <w:r w:rsidRPr="0022554A">
              <w:rPr>
                <w:sz w:val="20"/>
              </w:rPr>
              <w:t>Methods</w:t>
            </w:r>
          </w:p>
        </w:tc>
        <w:bookmarkEnd w:id="23"/>
        <w:bookmarkEnd w:id="24"/>
        <w:tc>
          <w:tcPr>
            <w:tcW w:w="5822" w:type="dxa"/>
            <w:gridSpan w:val="4"/>
          </w:tcPr>
          <w:p w:rsidR="00191A23" w:rsidRPr="0022554A" w:rsidRDefault="00191A23" w:rsidP="0022554A">
            <w:pPr>
              <w:pStyle w:val="TableSubHead"/>
              <w:tabs>
                <w:tab w:val="left" w:pos="5400"/>
              </w:tabs>
              <w:rPr>
                <w:sz w:val="20"/>
              </w:rPr>
            </w:pPr>
          </w:p>
        </w:tc>
      </w:tr>
      <w:tr w:rsidR="00FF28A8" w:rsidRPr="0022554A" w:rsidTr="00595C7B">
        <w:trPr>
          <w:gridAfter w:val="2"/>
          <w:wAfter w:w="2655" w:type="dxa"/>
        </w:trPr>
        <w:tc>
          <w:tcPr>
            <w:tcW w:w="0" w:type="auto"/>
          </w:tcPr>
          <w:p w:rsidR="00191A23" w:rsidRPr="0022554A" w:rsidRDefault="00191A23" w:rsidP="0022554A">
            <w:pPr>
              <w:tabs>
                <w:tab w:val="left" w:pos="5400"/>
              </w:tabs>
              <w:rPr>
                <w:bCs/>
                <w:sz w:val="20"/>
              </w:rPr>
            </w:pPr>
            <w:bookmarkStart w:id="25" w:name="bold12" w:colFirst="0" w:colLast="0"/>
            <w:bookmarkStart w:id="26" w:name="italic13" w:colFirst="0" w:colLast="0"/>
            <w:r w:rsidRPr="0022554A">
              <w:rPr>
                <w:bCs/>
                <w:sz w:val="20"/>
              </w:rPr>
              <w:t>Study design</w:t>
            </w:r>
          </w:p>
        </w:tc>
        <w:tc>
          <w:tcPr>
            <w:tcW w:w="0" w:type="auto"/>
          </w:tcPr>
          <w:p w:rsidR="00191A23" w:rsidRPr="0022554A" w:rsidRDefault="00191A23" w:rsidP="0022554A">
            <w:pPr>
              <w:tabs>
                <w:tab w:val="left" w:pos="5400"/>
              </w:tabs>
              <w:jc w:val="center"/>
              <w:rPr>
                <w:sz w:val="20"/>
              </w:rPr>
            </w:pPr>
            <w:r w:rsidRPr="0022554A">
              <w:rPr>
                <w:sz w:val="20"/>
              </w:rPr>
              <w:t>4</w:t>
            </w:r>
          </w:p>
        </w:tc>
        <w:tc>
          <w:tcPr>
            <w:tcW w:w="4705" w:type="dxa"/>
            <w:gridSpan w:val="2"/>
          </w:tcPr>
          <w:p w:rsidR="00191A23" w:rsidRPr="0022554A" w:rsidRDefault="00191A23" w:rsidP="00FF28A8">
            <w:pPr>
              <w:tabs>
                <w:tab w:val="left" w:pos="5400"/>
              </w:tabs>
              <w:rPr>
                <w:sz w:val="20"/>
              </w:rPr>
            </w:pPr>
            <w:r w:rsidRPr="0022554A">
              <w:rPr>
                <w:sz w:val="20"/>
              </w:rPr>
              <w:t>Present key elements of study design early in the paper</w:t>
            </w:r>
            <w:r w:rsidR="00FF28A8">
              <w:rPr>
                <w:sz w:val="20"/>
              </w:rPr>
              <w:tab/>
            </w:r>
          </w:p>
        </w:tc>
        <w:tc>
          <w:tcPr>
            <w:tcW w:w="627" w:type="dxa"/>
            <w:gridSpan w:val="2"/>
          </w:tcPr>
          <w:p w:rsidR="00191A23" w:rsidRPr="0022554A" w:rsidRDefault="00FF28A8" w:rsidP="0022554A">
            <w:pPr>
              <w:tabs>
                <w:tab w:val="left" w:pos="5400"/>
              </w:tabs>
              <w:rPr>
                <w:sz w:val="20"/>
              </w:rPr>
            </w:pPr>
            <w:r>
              <w:rPr>
                <w:sz w:val="20"/>
              </w:rPr>
              <w:t>3</w:t>
            </w:r>
          </w:p>
        </w:tc>
        <w:tc>
          <w:tcPr>
            <w:tcW w:w="5431" w:type="dxa"/>
            <w:gridSpan w:val="3"/>
          </w:tcPr>
          <w:p w:rsidR="00191A23" w:rsidRPr="0022554A" w:rsidRDefault="00FF28A8" w:rsidP="0022554A">
            <w:pPr>
              <w:tabs>
                <w:tab w:val="left" w:pos="5400"/>
              </w:tabs>
              <w:rPr>
                <w:sz w:val="20"/>
              </w:rPr>
            </w:pPr>
            <w:r w:rsidRPr="00AC4591">
              <w:rPr>
                <w:szCs w:val="24"/>
                <w:lang w:val="en-US" w:eastAsia="en-GB"/>
              </w:rPr>
              <w:t xml:space="preserve">Further longitudinal evaluation of our existing cohort, </w:t>
            </w:r>
            <w:r>
              <w:rPr>
                <w:szCs w:val="24"/>
                <w:lang w:val="en-US" w:eastAsia="en-GB"/>
              </w:rPr>
              <w:t>combined with novel cross-sectional investigation</w:t>
            </w:r>
          </w:p>
        </w:tc>
      </w:tr>
      <w:tr w:rsidR="00FF28A8" w:rsidRPr="0022554A" w:rsidTr="00595C7B">
        <w:trPr>
          <w:gridAfter w:val="2"/>
          <w:wAfter w:w="2655" w:type="dxa"/>
        </w:trPr>
        <w:tc>
          <w:tcPr>
            <w:tcW w:w="0" w:type="auto"/>
          </w:tcPr>
          <w:p w:rsidR="00191A23" w:rsidRPr="0022554A" w:rsidRDefault="00191A23" w:rsidP="0022554A">
            <w:pPr>
              <w:tabs>
                <w:tab w:val="left" w:pos="5400"/>
              </w:tabs>
              <w:rPr>
                <w:bCs/>
                <w:sz w:val="20"/>
              </w:rPr>
            </w:pPr>
            <w:bookmarkStart w:id="27" w:name="bold13" w:colFirst="0" w:colLast="0"/>
            <w:bookmarkStart w:id="28" w:name="italic14" w:colFirst="0" w:colLast="0"/>
            <w:bookmarkEnd w:id="25"/>
            <w:bookmarkEnd w:id="26"/>
            <w:r w:rsidRPr="0022554A">
              <w:rPr>
                <w:bCs/>
                <w:sz w:val="20"/>
              </w:rPr>
              <w:t>Setting</w:t>
            </w:r>
          </w:p>
        </w:tc>
        <w:tc>
          <w:tcPr>
            <w:tcW w:w="0" w:type="auto"/>
          </w:tcPr>
          <w:p w:rsidR="00191A23" w:rsidRPr="0022554A" w:rsidRDefault="00191A23" w:rsidP="0022554A">
            <w:pPr>
              <w:tabs>
                <w:tab w:val="left" w:pos="5400"/>
              </w:tabs>
              <w:jc w:val="center"/>
              <w:rPr>
                <w:sz w:val="20"/>
              </w:rPr>
            </w:pPr>
            <w:r w:rsidRPr="0022554A">
              <w:rPr>
                <w:sz w:val="20"/>
              </w:rPr>
              <w:t>5</w:t>
            </w:r>
          </w:p>
        </w:tc>
        <w:tc>
          <w:tcPr>
            <w:tcW w:w="4705" w:type="dxa"/>
            <w:gridSpan w:val="2"/>
          </w:tcPr>
          <w:p w:rsidR="00191A23" w:rsidRPr="0022554A" w:rsidRDefault="00191A23" w:rsidP="0022554A">
            <w:pPr>
              <w:tabs>
                <w:tab w:val="left" w:pos="5400"/>
              </w:tabs>
              <w:rPr>
                <w:sz w:val="20"/>
              </w:rPr>
            </w:pPr>
            <w:r w:rsidRPr="0022554A">
              <w:rPr>
                <w:sz w:val="20"/>
              </w:rPr>
              <w:t>Describe the setting, locations, and relevant dates, including periods of recruitment, exposure, follow-up, and data collection</w:t>
            </w:r>
          </w:p>
        </w:tc>
        <w:tc>
          <w:tcPr>
            <w:tcW w:w="627" w:type="dxa"/>
            <w:gridSpan w:val="2"/>
          </w:tcPr>
          <w:p w:rsidR="00191A23" w:rsidRPr="0022554A" w:rsidRDefault="00FF28A8" w:rsidP="0022554A">
            <w:pPr>
              <w:tabs>
                <w:tab w:val="left" w:pos="5400"/>
              </w:tabs>
              <w:rPr>
                <w:sz w:val="20"/>
              </w:rPr>
            </w:pPr>
            <w:r>
              <w:rPr>
                <w:szCs w:val="24"/>
              </w:rPr>
              <w:t>4</w:t>
            </w:r>
          </w:p>
        </w:tc>
        <w:tc>
          <w:tcPr>
            <w:tcW w:w="5431" w:type="dxa"/>
            <w:gridSpan w:val="3"/>
          </w:tcPr>
          <w:p w:rsidR="00191A23" w:rsidRPr="0022554A" w:rsidRDefault="00FF28A8" w:rsidP="0022554A">
            <w:pPr>
              <w:tabs>
                <w:tab w:val="left" w:pos="5400"/>
              </w:tabs>
              <w:rPr>
                <w:sz w:val="20"/>
              </w:rPr>
            </w:pPr>
            <w:r w:rsidRPr="005422CA">
              <w:rPr>
                <w:szCs w:val="24"/>
              </w:rPr>
              <w:t>One researcher (A.M.) used clinical coding and the database from our previous study</w:t>
            </w:r>
            <w:r>
              <w:rPr>
                <w:szCs w:val="24"/>
              </w:rPr>
              <w:t xml:space="preserve"> [12]</w:t>
            </w:r>
            <w:r w:rsidRPr="005422CA">
              <w:rPr>
                <w:szCs w:val="24"/>
              </w:rPr>
              <w:t xml:space="preserve"> to identify eligible patients treated in two tertiary centres from 1995 to 2005</w:t>
            </w:r>
          </w:p>
        </w:tc>
      </w:tr>
      <w:bookmarkEnd w:id="27"/>
      <w:bookmarkEnd w:id="28"/>
      <w:tr w:rsidR="00FF28A8" w:rsidRPr="0022554A" w:rsidTr="00595C7B">
        <w:trPr>
          <w:gridAfter w:val="2"/>
          <w:wAfter w:w="2655" w:type="dxa"/>
        </w:trPr>
        <w:tc>
          <w:tcPr>
            <w:tcW w:w="0" w:type="auto"/>
            <w:vMerge w:val="restart"/>
          </w:tcPr>
          <w:p w:rsidR="00191A23" w:rsidRPr="0022554A" w:rsidRDefault="00191A23" w:rsidP="0022554A">
            <w:pPr>
              <w:tabs>
                <w:tab w:val="left" w:pos="5400"/>
              </w:tabs>
              <w:rPr>
                <w:bCs/>
                <w:sz w:val="20"/>
              </w:rPr>
            </w:pPr>
            <w:r w:rsidRPr="0022554A">
              <w:rPr>
                <w:bCs/>
                <w:sz w:val="20"/>
              </w:rPr>
              <w:t>Participants</w:t>
            </w:r>
          </w:p>
        </w:tc>
        <w:tc>
          <w:tcPr>
            <w:tcW w:w="0" w:type="auto"/>
            <w:vMerge w:val="restart"/>
          </w:tcPr>
          <w:p w:rsidR="00191A23" w:rsidRPr="0022554A" w:rsidRDefault="00191A23" w:rsidP="0022554A">
            <w:pPr>
              <w:tabs>
                <w:tab w:val="left" w:pos="5400"/>
              </w:tabs>
              <w:jc w:val="center"/>
              <w:rPr>
                <w:sz w:val="20"/>
              </w:rPr>
            </w:pPr>
            <w:r w:rsidRPr="0022554A">
              <w:rPr>
                <w:sz w:val="20"/>
              </w:rPr>
              <w:t>6</w:t>
            </w:r>
          </w:p>
        </w:tc>
        <w:tc>
          <w:tcPr>
            <w:tcW w:w="4705" w:type="dxa"/>
            <w:gridSpan w:val="2"/>
          </w:tcPr>
          <w:p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rsidR="00191A23" w:rsidRPr="0022554A" w:rsidRDefault="00191A23"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rsidR="00191A23" w:rsidRDefault="00191A23"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p w:rsidR="00FF28A8" w:rsidRDefault="00FF28A8" w:rsidP="00FF28A8">
            <w:pPr>
              <w:tabs>
                <w:tab w:val="left" w:pos="426"/>
              </w:tabs>
              <w:spacing w:line="240" w:lineRule="auto"/>
              <w:rPr>
                <w:szCs w:val="24"/>
              </w:rPr>
            </w:pPr>
          </w:p>
          <w:p w:rsidR="00FF28A8" w:rsidRPr="0022554A" w:rsidRDefault="00FF28A8" w:rsidP="00FF28A8">
            <w:pPr>
              <w:tabs>
                <w:tab w:val="left" w:pos="5400"/>
              </w:tabs>
              <w:rPr>
                <w:sz w:val="20"/>
              </w:rPr>
            </w:pPr>
          </w:p>
        </w:tc>
        <w:tc>
          <w:tcPr>
            <w:tcW w:w="627" w:type="dxa"/>
            <w:gridSpan w:val="2"/>
          </w:tcPr>
          <w:p w:rsidR="00FF28A8" w:rsidRPr="005422CA" w:rsidRDefault="00FF28A8" w:rsidP="00FF28A8">
            <w:pPr>
              <w:autoSpaceDE w:val="0"/>
              <w:autoSpaceDN w:val="0"/>
              <w:adjustRightInd w:val="0"/>
              <w:spacing w:line="240" w:lineRule="auto"/>
              <w:rPr>
                <w:szCs w:val="24"/>
              </w:rPr>
            </w:pPr>
            <w:r>
              <w:rPr>
                <w:szCs w:val="24"/>
              </w:rPr>
              <w:t>5</w:t>
            </w:r>
          </w:p>
          <w:p w:rsidR="00191A23" w:rsidRPr="0022554A" w:rsidRDefault="00191A23" w:rsidP="00FF28A8">
            <w:pPr>
              <w:tabs>
                <w:tab w:val="left" w:pos="5400"/>
              </w:tabs>
              <w:jc w:val="center"/>
              <w:rPr>
                <w:sz w:val="20"/>
              </w:rPr>
            </w:pPr>
          </w:p>
        </w:tc>
        <w:tc>
          <w:tcPr>
            <w:tcW w:w="5431" w:type="dxa"/>
            <w:gridSpan w:val="3"/>
          </w:tcPr>
          <w:p w:rsidR="00FF28A8" w:rsidRPr="005422CA" w:rsidRDefault="00FF28A8" w:rsidP="00FF28A8">
            <w:pPr>
              <w:tabs>
                <w:tab w:val="left" w:pos="426"/>
              </w:tabs>
              <w:spacing w:line="240" w:lineRule="auto"/>
              <w:rPr>
                <w:szCs w:val="24"/>
              </w:rPr>
            </w:pPr>
            <w:r>
              <w:rPr>
                <w:szCs w:val="24"/>
              </w:rPr>
              <w:t>‘</w:t>
            </w:r>
            <w:r w:rsidRPr="005422CA">
              <w:rPr>
                <w:szCs w:val="24"/>
              </w:rPr>
              <w:t>Eligible for this study were patients treated in two tertiary centres from 1995 to 2005with a diagnosis of DDH who had received a closed or open reduction with or without osteotomy and who were older than 14 years of age at the time of study assessment. We excluded patients with co-morbidities that exclude the diagnosis of DDH</w:t>
            </w:r>
            <w:r>
              <w:rPr>
                <w:szCs w:val="24"/>
              </w:rPr>
              <w:t>.’</w:t>
            </w:r>
          </w:p>
          <w:p w:rsidR="00FF28A8" w:rsidRPr="005422CA" w:rsidRDefault="00FF28A8" w:rsidP="00FF28A8">
            <w:pPr>
              <w:autoSpaceDE w:val="0"/>
              <w:autoSpaceDN w:val="0"/>
              <w:adjustRightInd w:val="0"/>
              <w:spacing w:line="240" w:lineRule="auto"/>
              <w:rPr>
                <w:szCs w:val="24"/>
              </w:rPr>
            </w:pPr>
          </w:p>
          <w:p w:rsidR="00FF28A8" w:rsidRDefault="00FF28A8" w:rsidP="00FF28A8">
            <w:pPr>
              <w:tabs>
                <w:tab w:val="left" w:pos="5400"/>
              </w:tabs>
              <w:rPr>
                <w:sz w:val="20"/>
              </w:rPr>
            </w:pPr>
            <w:r>
              <w:rPr>
                <w:szCs w:val="24"/>
              </w:rPr>
              <w:t>‘</w:t>
            </w:r>
            <w:r w:rsidRPr="005422CA">
              <w:rPr>
                <w:szCs w:val="24"/>
              </w:rPr>
              <w:t>Of 311 eligible patients identified, 160 (51%) had evidence of osteonecrosis as per clinical records and radiography (Fig. 1). These included 72 patients studied in 2011</w:t>
            </w:r>
            <w:r>
              <w:rPr>
                <w:szCs w:val="24"/>
              </w:rPr>
              <w:t xml:space="preserve"> [12]</w:t>
            </w:r>
            <w:r w:rsidRPr="005422CA">
              <w:rPr>
                <w:szCs w:val="24"/>
              </w:rPr>
              <w:t xml:space="preserve"> when we had measured their hip function, physical function, and health status</w:t>
            </w:r>
            <w:r>
              <w:rPr>
                <w:szCs w:val="24"/>
              </w:rPr>
              <w:t>’</w:t>
            </w:r>
          </w:p>
          <w:p w:rsidR="00191A23" w:rsidRPr="0022554A" w:rsidRDefault="00191A23" w:rsidP="0022554A">
            <w:pPr>
              <w:tabs>
                <w:tab w:val="left" w:pos="5400"/>
              </w:tabs>
              <w:rPr>
                <w:sz w:val="20"/>
              </w:rPr>
            </w:pPr>
          </w:p>
        </w:tc>
      </w:tr>
      <w:tr w:rsidR="00FF28A8" w:rsidRPr="0022554A" w:rsidTr="00595C7B">
        <w:trPr>
          <w:gridAfter w:val="2"/>
          <w:wAfter w:w="2655" w:type="dxa"/>
        </w:trPr>
        <w:tc>
          <w:tcPr>
            <w:tcW w:w="0" w:type="auto"/>
            <w:vMerge/>
          </w:tcPr>
          <w:p w:rsidR="00191A23" w:rsidRPr="0022554A" w:rsidRDefault="00191A23" w:rsidP="0022554A">
            <w:pPr>
              <w:tabs>
                <w:tab w:val="left" w:pos="5400"/>
              </w:tabs>
              <w:rPr>
                <w:bCs/>
                <w:sz w:val="20"/>
              </w:rPr>
            </w:pPr>
            <w:bookmarkStart w:id="29" w:name="bold14" w:colFirst="0" w:colLast="0"/>
            <w:bookmarkStart w:id="30" w:name="italic15" w:colFirst="0" w:colLast="0"/>
          </w:p>
        </w:tc>
        <w:tc>
          <w:tcPr>
            <w:tcW w:w="0" w:type="auto"/>
            <w:vMerge/>
          </w:tcPr>
          <w:p w:rsidR="00191A23" w:rsidRPr="0022554A" w:rsidRDefault="00191A23" w:rsidP="0022554A">
            <w:pPr>
              <w:tabs>
                <w:tab w:val="left" w:pos="5400"/>
              </w:tabs>
              <w:jc w:val="center"/>
              <w:rPr>
                <w:sz w:val="20"/>
              </w:rPr>
            </w:pPr>
          </w:p>
        </w:tc>
        <w:tc>
          <w:tcPr>
            <w:tcW w:w="4705" w:type="dxa"/>
            <w:gridSpan w:val="2"/>
          </w:tcPr>
          <w:p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 xml:space="preserve">—For matched studies, give matching </w:t>
            </w:r>
            <w:r w:rsidRPr="0022554A">
              <w:rPr>
                <w:sz w:val="20"/>
              </w:rPr>
              <w:lastRenderedPageBreak/>
              <w:t>criteria and number of exposed and unexposed</w:t>
            </w:r>
          </w:p>
          <w:p w:rsidR="00191A23" w:rsidRPr="0022554A" w:rsidRDefault="00191A23"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627" w:type="dxa"/>
            <w:gridSpan w:val="2"/>
          </w:tcPr>
          <w:p w:rsidR="00191A23" w:rsidRPr="0022554A" w:rsidRDefault="00191A23" w:rsidP="0022554A">
            <w:pPr>
              <w:tabs>
                <w:tab w:val="left" w:pos="5400"/>
              </w:tabs>
              <w:rPr>
                <w:sz w:val="20"/>
              </w:rPr>
            </w:pPr>
          </w:p>
        </w:tc>
        <w:tc>
          <w:tcPr>
            <w:tcW w:w="5431" w:type="dxa"/>
            <w:gridSpan w:val="3"/>
          </w:tcPr>
          <w:p w:rsidR="00191A23" w:rsidRPr="0022554A" w:rsidRDefault="00191A23" w:rsidP="0022554A">
            <w:pPr>
              <w:tabs>
                <w:tab w:val="left" w:pos="5400"/>
              </w:tabs>
              <w:rPr>
                <w:sz w:val="20"/>
              </w:rPr>
            </w:pPr>
          </w:p>
        </w:tc>
      </w:tr>
      <w:tr w:rsidR="00FF28A8" w:rsidRPr="0022554A" w:rsidTr="00595C7B">
        <w:trPr>
          <w:gridAfter w:val="2"/>
          <w:wAfter w:w="2655" w:type="dxa"/>
        </w:trPr>
        <w:tc>
          <w:tcPr>
            <w:tcW w:w="0" w:type="auto"/>
          </w:tcPr>
          <w:p w:rsidR="00191A23" w:rsidRPr="0022554A" w:rsidRDefault="00191A23" w:rsidP="0022554A">
            <w:pPr>
              <w:tabs>
                <w:tab w:val="left" w:pos="5400"/>
              </w:tabs>
              <w:rPr>
                <w:bCs/>
                <w:sz w:val="20"/>
              </w:rPr>
            </w:pPr>
            <w:bookmarkStart w:id="31" w:name="bold16" w:colFirst="0" w:colLast="0"/>
            <w:bookmarkStart w:id="32" w:name="italic17" w:colFirst="0" w:colLast="0"/>
            <w:bookmarkEnd w:id="29"/>
            <w:bookmarkEnd w:id="30"/>
            <w:r w:rsidRPr="0022554A">
              <w:rPr>
                <w:bCs/>
                <w:sz w:val="20"/>
              </w:rPr>
              <w:t>Variables</w:t>
            </w:r>
          </w:p>
        </w:tc>
        <w:tc>
          <w:tcPr>
            <w:tcW w:w="0" w:type="auto"/>
          </w:tcPr>
          <w:p w:rsidR="00191A23" w:rsidRPr="0022554A" w:rsidRDefault="00191A23" w:rsidP="0022554A">
            <w:pPr>
              <w:tabs>
                <w:tab w:val="left" w:pos="5400"/>
              </w:tabs>
              <w:jc w:val="center"/>
              <w:rPr>
                <w:sz w:val="20"/>
              </w:rPr>
            </w:pPr>
            <w:r w:rsidRPr="0022554A">
              <w:rPr>
                <w:sz w:val="20"/>
              </w:rPr>
              <w:t>7</w:t>
            </w:r>
          </w:p>
        </w:tc>
        <w:tc>
          <w:tcPr>
            <w:tcW w:w="4705" w:type="dxa"/>
            <w:gridSpan w:val="2"/>
          </w:tcPr>
          <w:p w:rsidR="00191A23" w:rsidRDefault="00191A23" w:rsidP="0022554A">
            <w:pPr>
              <w:tabs>
                <w:tab w:val="left" w:pos="5400"/>
              </w:tabs>
              <w:rPr>
                <w:sz w:val="20"/>
              </w:rPr>
            </w:pPr>
            <w:r w:rsidRPr="0022554A">
              <w:rPr>
                <w:sz w:val="20"/>
              </w:rPr>
              <w:t>Clearly define all outcomes, exposures, predictors, potential confounders, and effect modifiers. Give diagnostic criteria, if applicable</w:t>
            </w:r>
          </w:p>
          <w:p w:rsidR="00FF28A8" w:rsidRDefault="00FF28A8" w:rsidP="0022554A">
            <w:pPr>
              <w:tabs>
                <w:tab w:val="left" w:pos="5400"/>
              </w:tabs>
              <w:rPr>
                <w:sz w:val="20"/>
              </w:rPr>
            </w:pPr>
          </w:p>
          <w:p w:rsidR="00FF28A8" w:rsidRPr="0022554A" w:rsidRDefault="00FF28A8" w:rsidP="00FF28A8">
            <w:pPr>
              <w:autoSpaceDE w:val="0"/>
              <w:autoSpaceDN w:val="0"/>
              <w:adjustRightInd w:val="0"/>
              <w:spacing w:line="240" w:lineRule="auto"/>
              <w:rPr>
                <w:sz w:val="20"/>
              </w:rPr>
            </w:pPr>
          </w:p>
        </w:tc>
        <w:tc>
          <w:tcPr>
            <w:tcW w:w="627" w:type="dxa"/>
            <w:gridSpan w:val="2"/>
          </w:tcPr>
          <w:p w:rsidR="00191A23" w:rsidRPr="0022554A" w:rsidRDefault="00FF28A8" w:rsidP="0022554A">
            <w:pPr>
              <w:tabs>
                <w:tab w:val="left" w:pos="5400"/>
              </w:tabs>
              <w:rPr>
                <w:sz w:val="20"/>
              </w:rPr>
            </w:pPr>
            <w:r>
              <w:rPr>
                <w:sz w:val="20"/>
              </w:rPr>
              <w:t>8</w:t>
            </w:r>
          </w:p>
        </w:tc>
        <w:tc>
          <w:tcPr>
            <w:tcW w:w="5431" w:type="dxa"/>
            <w:gridSpan w:val="3"/>
          </w:tcPr>
          <w:p w:rsidR="00191A23" w:rsidRPr="0022554A" w:rsidRDefault="00FF28A8" w:rsidP="0022554A">
            <w:pPr>
              <w:tabs>
                <w:tab w:val="left" w:pos="5400"/>
              </w:tabs>
              <w:rPr>
                <w:sz w:val="20"/>
              </w:rPr>
            </w:pPr>
            <w:r w:rsidRPr="005422CA">
              <w:rPr>
                <w:szCs w:val="24"/>
              </w:rPr>
              <w:t>We determined the relationship between osteonecrosis and hip function, physical function and health status with linear mixed-effects regression models</w:t>
            </w:r>
            <w:r>
              <w:rPr>
                <w:szCs w:val="24"/>
              </w:rPr>
              <w:t xml:space="preserve"> [26]</w:t>
            </w:r>
            <w:r w:rsidRPr="005422CA">
              <w:rPr>
                <w:szCs w:val="24"/>
              </w:rPr>
              <w:t xml:space="preserve"> in order to account for within-subject correlation among 37 patients with bilateral osteonecrosis. We decided a priori to adjust all analyses for the total number of operations (with the exception of implant removal) any hip had undergone prior to the study assessment</w:t>
            </w:r>
            <w:r>
              <w:rPr>
                <w:szCs w:val="24"/>
              </w:rPr>
              <w:t xml:space="preserve"> [12]</w:t>
            </w:r>
            <w:r w:rsidRPr="005422CA">
              <w:rPr>
                <w:szCs w:val="24"/>
                <w:lang w:eastAsia="en-GB"/>
              </w:rPr>
              <w:t>;</w:t>
            </w:r>
            <w:r w:rsidRPr="005422CA">
              <w:rPr>
                <w:szCs w:val="24"/>
              </w:rPr>
              <w:t xml:space="preserve"> the degree of acetabular dysplasia at the most recent radiograph</w:t>
            </w:r>
            <w:r>
              <w:rPr>
                <w:szCs w:val="24"/>
              </w:rPr>
              <w:t xml:space="preserve"> [27]</w:t>
            </w:r>
            <w:r w:rsidRPr="005422CA">
              <w:rPr>
                <w:szCs w:val="24"/>
              </w:rPr>
              <w:t>; and the age at study assessment</w:t>
            </w:r>
            <w:r>
              <w:rPr>
                <w:szCs w:val="24"/>
              </w:rPr>
              <w:t xml:space="preserve"> [12]</w:t>
            </w:r>
            <w:r w:rsidRPr="005422CA">
              <w:rPr>
                <w:szCs w:val="24"/>
                <w:lang w:eastAsia="en-GB"/>
              </w:rPr>
              <w:t>.</w:t>
            </w:r>
          </w:p>
        </w:tc>
      </w:tr>
      <w:tr w:rsidR="00FF28A8" w:rsidRPr="0022554A" w:rsidTr="00595C7B">
        <w:trPr>
          <w:gridAfter w:val="2"/>
          <w:wAfter w:w="2655" w:type="dxa"/>
          <w:trHeight w:val="294"/>
        </w:trPr>
        <w:tc>
          <w:tcPr>
            <w:tcW w:w="0" w:type="auto"/>
          </w:tcPr>
          <w:p w:rsidR="00191A23" w:rsidRPr="0022554A" w:rsidRDefault="00191A23" w:rsidP="0022554A">
            <w:pPr>
              <w:tabs>
                <w:tab w:val="left" w:pos="5400"/>
              </w:tabs>
              <w:rPr>
                <w:bCs/>
                <w:sz w:val="20"/>
              </w:rPr>
            </w:pPr>
            <w:bookmarkStart w:id="33" w:name="bold17"/>
            <w:bookmarkStart w:id="34" w:name="italic18"/>
            <w:bookmarkEnd w:id="31"/>
            <w:bookmarkEnd w:id="32"/>
            <w:r w:rsidRPr="0022554A">
              <w:rPr>
                <w:bCs/>
                <w:sz w:val="20"/>
              </w:rPr>
              <w:t>Data sources/</w:t>
            </w:r>
            <w:bookmarkStart w:id="35" w:name="bold18"/>
            <w:bookmarkStart w:id="36" w:name="italic19"/>
            <w:bookmarkEnd w:id="33"/>
            <w:bookmarkEnd w:id="34"/>
            <w:r>
              <w:rPr>
                <w:bCs/>
                <w:sz w:val="20"/>
              </w:rPr>
              <w:t xml:space="preserve"> </w:t>
            </w:r>
            <w:r w:rsidRPr="0022554A">
              <w:rPr>
                <w:bCs/>
                <w:sz w:val="20"/>
              </w:rPr>
              <w:t>measurement</w:t>
            </w:r>
            <w:bookmarkEnd w:id="35"/>
            <w:bookmarkEnd w:id="36"/>
          </w:p>
        </w:tc>
        <w:tc>
          <w:tcPr>
            <w:tcW w:w="0" w:type="auto"/>
          </w:tcPr>
          <w:p w:rsidR="00191A23" w:rsidRPr="0022554A" w:rsidRDefault="00191A23" w:rsidP="0022554A">
            <w:pPr>
              <w:tabs>
                <w:tab w:val="left" w:pos="5400"/>
              </w:tabs>
              <w:jc w:val="center"/>
              <w:rPr>
                <w:sz w:val="20"/>
              </w:rPr>
            </w:pPr>
            <w:r w:rsidRPr="0022554A">
              <w:rPr>
                <w:sz w:val="20"/>
              </w:rPr>
              <w:t>8</w:t>
            </w:r>
            <w:bookmarkStart w:id="37" w:name="bold19"/>
            <w:r w:rsidRPr="0022554A">
              <w:rPr>
                <w:bCs/>
                <w:sz w:val="20"/>
              </w:rPr>
              <w:t>*</w:t>
            </w:r>
            <w:bookmarkEnd w:id="37"/>
          </w:p>
        </w:tc>
        <w:tc>
          <w:tcPr>
            <w:tcW w:w="4705" w:type="dxa"/>
            <w:gridSpan w:val="2"/>
          </w:tcPr>
          <w:p w:rsidR="00FF28A8" w:rsidRDefault="00191A23" w:rsidP="00FF28A8">
            <w:pPr>
              <w:tabs>
                <w:tab w:val="left" w:pos="5400"/>
              </w:tabs>
              <w:spacing w:line="240" w:lineRule="auto"/>
              <w:rPr>
                <w:szCs w:val="24"/>
                <w:lang w:eastAsia="en-GB"/>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r w:rsidR="00FF28A8" w:rsidRPr="005422CA">
              <w:rPr>
                <w:szCs w:val="24"/>
                <w:lang w:eastAsia="en-GB"/>
              </w:rPr>
              <w:t xml:space="preserve"> </w:t>
            </w:r>
          </w:p>
          <w:p w:rsidR="00FF28A8" w:rsidRDefault="00FF28A8" w:rsidP="00FF28A8">
            <w:pPr>
              <w:tabs>
                <w:tab w:val="left" w:pos="5400"/>
              </w:tabs>
              <w:spacing w:line="240" w:lineRule="auto"/>
              <w:rPr>
                <w:szCs w:val="24"/>
                <w:lang w:eastAsia="en-GB"/>
              </w:rPr>
            </w:pPr>
          </w:p>
          <w:p w:rsidR="00FF28A8" w:rsidRPr="0022554A" w:rsidRDefault="00FF28A8" w:rsidP="00FF28A8">
            <w:pPr>
              <w:tabs>
                <w:tab w:val="left" w:pos="5400"/>
              </w:tabs>
              <w:rPr>
                <w:sz w:val="20"/>
              </w:rPr>
            </w:pPr>
          </w:p>
        </w:tc>
        <w:tc>
          <w:tcPr>
            <w:tcW w:w="627" w:type="dxa"/>
            <w:gridSpan w:val="2"/>
          </w:tcPr>
          <w:p w:rsidR="00191A23" w:rsidRPr="0022554A" w:rsidRDefault="00FF28A8" w:rsidP="0022554A">
            <w:pPr>
              <w:tabs>
                <w:tab w:val="left" w:pos="5400"/>
              </w:tabs>
              <w:rPr>
                <w:i/>
                <w:sz w:val="20"/>
              </w:rPr>
            </w:pPr>
            <w:r>
              <w:rPr>
                <w:i/>
                <w:sz w:val="20"/>
              </w:rPr>
              <w:t>7</w:t>
            </w:r>
          </w:p>
        </w:tc>
        <w:tc>
          <w:tcPr>
            <w:tcW w:w="5431" w:type="dxa"/>
            <w:gridSpan w:val="3"/>
          </w:tcPr>
          <w:p w:rsidR="00FF28A8" w:rsidRDefault="00FF28A8" w:rsidP="00FF28A8">
            <w:pPr>
              <w:tabs>
                <w:tab w:val="left" w:pos="5400"/>
              </w:tabs>
              <w:spacing w:line="240" w:lineRule="auto"/>
              <w:rPr>
                <w:szCs w:val="24"/>
                <w:lang w:eastAsia="en-GB"/>
              </w:rPr>
            </w:pPr>
            <w:r w:rsidRPr="005422CA">
              <w:rPr>
                <w:szCs w:val="24"/>
                <w:lang w:eastAsia="en-GB"/>
              </w:rPr>
              <w:t>We graded the presence of osteonecrosis according to Bucholz-Ogden</w:t>
            </w:r>
          </w:p>
          <w:p w:rsidR="00FF28A8" w:rsidRPr="00975F22" w:rsidRDefault="00FF28A8" w:rsidP="00FF28A8">
            <w:pPr>
              <w:autoSpaceDE w:val="0"/>
              <w:autoSpaceDN w:val="0"/>
              <w:adjustRightInd w:val="0"/>
              <w:spacing w:line="240" w:lineRule="auto"/>
              <w:rPr>
                <w:rStyle w:val="SubtleEmphasis"/>
                <w:i w:val="0"/>
                <w:iCs w:val="0"/>
                <w:szCs w:val="24"/>
                <w:lang w:eastAsia="en-GB"/>
              </w:rPr>
            </w:pPr>
            <w:r w:rsidRPr="005422CA">
              <w:rPr>
                <w:szCs w:val="24"/>
                <w:lang w:eastAsia="en-GB"/>
              </w:rPr>
              <w:t xml:space="preserve">We quantified acetabular dysplasia by means of the centre-edge angle of </w:t>
            </w:r>
            <w:proofErr w:type="spellStart"/>
            <w:r w:rsidRPr="005422CA">
              <w:rPr>
                <w:szCs w:val="24"/>
                <w:lang w:eastAsia="en-GB"/>
              </w:rPr>
              <w:t>Wiberg</w:t>
            </w:r>
            <w:proofErr w:type="spellEnd"/>
            <w:r>
              <w:rPr>
                <w:szCs w:val="24"/>
                <w:lang w:eastAsia="en-GB"/>
              </w:rPr>
              <w:t xml:space="preserve"> </w:t>
            </w:r>
            <w:r w:rsidRPr="005422CA">
              <w:rPr>
                <w:szCs w:val="24"/>
                <w:lang w:eastAsia="en-GB"/>
              </w:rPr>
              <w:t>and the acetabular angle of Sharp</w:t>
            </w:r>
            <w:r>
              <w:rPr>
                <w:szCs w:val="24"/>
                <w:lang w:eastAsia="en-GB"/>
              </w:rPr>
              <w:t xml:space="preserve">. </w:t>
            </w:r>
            <w:r w:rsidRPr="005422CA">
              <w:rPr>
                <w:szCs w:val="24"/>
                <w:lang w:eastAsia="en-GB"/>
              </w:rPr>
              <w:t>We evaluated the presence of osteoarthrosis according to Kellgren-Lawrence</w:t>
            </w:r>
            <w:r w:rsidRPr="005422CA">
              <w:rPr>
                <w:rStyle w:val="SubtleEmphasis"/>
                <w:szCs w:val="24"/>
              </w:rPr>
              <w:t>.</w:t>
            </w:r>
            <w:r w:rsidRPr="005422CA">
              <w:rPr>
                <w:szCs w:val="24"/>
                <w:lang w:eastAsia="en-GB"/>
              </w:rPr>
              <w:t xml:space="preserve"> </w:t>
            </w:r>
          </w:p>
          <w:p w:rsidR="00FF28A8" w:rsidRPr="005422CA" w:rsidRDefault="00FF28A8" w:rsidP="00FF28A8">
            <w:pPr>
              <w:tabs>
                <w:tab w:val="left" w:pos="5400"/>
              </w:tabs>
              <w:rPr>
                <w:rStyle w:val="SubtleEmphasis"/>
                <w:szCs w:val="24"/>
              </w:rPr>
            </w:pPr>
            <w:r w:rsidRPr="005422CA">
              <w:rPr>
                <w:szCs w:val="24"/>
              </w:rPr>
              <w:t>The orthopaedic resident (A.M.) examined all patients according to the Children’s Hospital Oakland Hip Evaluation Scale (CHOHES</w:t>
            </w:r>
            <w:r w:rsidRPr="00FF28A8">
              <w:rPr>
                <w:szCs w:val="24"/>
              </w:rPr>
              <w:t xml:space="preserve">), </w:t>
            </w:r>
            <w:r w:rsidRPr="00FF28A8">
              <w:rPr>
                <w:rStyle w:val="SubtleEmphasis"/>
                <w:i w:val="0"/>
                <w:color w:val="auto"/>
                <w:szCs w:val="24"/>
              </w:rPr>
              <w:t>Activity Scales for Kids (ASK) and Health Utilities Index Mark 3 (HUI-3)</w:t>
            </w:r>
            <w:r w:rsidRPr="00FF28A8">
              <w:rPr>
                <w:rStyle w:val="SubtleEmphasis"/>
                <w:color w:val="auto"/>
                <w:szCs w:val="24"/>
              </w:rPr>
              <w:t xml:space="preserve"> </w:t>
            </w:r>
          </w:p>
          <w:p w:rsidR="00191A23" w:rsidRPr="0022554A" w:rsidRDefault="00191A23" w:rsidP="00FF28A8">
            <w:pPr>
              <w:spacing w:line="480" w:lineRule="auto"/>
              <w:rPr>
                <w:i/>
                <w:sz w:val="20"/>
              </w:rPr>
            </w:pPr>
          </w:p>
        </w:tc>
      </w:tr>
      <w:tr w:rsidR="00FF28A8" w:rsidRPr="0022554A" w:rsidTr="00595C7B">
        <w:trPr>
          <w:gridAfter w:val="2"/>
          <w:wAfter w:w="2655" w:type="dxa"/>
        </w:trPr>
        <w:tc>
          <w:tcPr>
            <w:tcW w:w="0" w:type="auto"/>
          </w:tcPr>
          <w:p w:rsidR="00191A23" w:rsidRPr="0022554A" w:rsidRDefault="00191A23" w:rsidP="0022554A">
            <w:pPr>
              <w:tabs>
                <w:tab w:val="left" w:pos="5400"/>
              </w:tabs>
              <w:rPr>
                <w:bCs/>
                <w:color w:val="000000"/>
                <w:sz w:val="20"/>
              </w:rPr>
            </w:pPr>
            <w:bookmarkStart w:id="38" w:name="bold20" w:colFirst="0" w:colLast="0"/>
            <w:bookmarkStart w:id="39" w:name="italic20" w:colFirst="0" w:colLast="0"/>
            <w:r w:rsidRPr="0022554A">
              <w:rPr>
                <w:bCs/>
                <w:color w:val="000000"/>
                <w:sz w:val="20"/>
              </w:rPr>
              <w:t>Bias</w:t>
            </w:r>
          </w:p>
        </w:tc>
        <w:tc>
          <w:tcPr>
            <w:tcW w:w="0" w:type="auto"/>
          </w:tcPr>
          <w:p w:rsidR="00191A23" w:rsidRPr="0022554A" w:rsidRDefault="00191A23" w:rsidP="0022554A">
            <w:pPr>
              <w:tabs>
                <w:tab w:val="left" w:pos="5400"/>
              </w:tabs>
              <w:jc w:val="center"/>
              <w:rPr>
                <w:sz w:val="20"/>
              </w:rPr>
            </w:pPr>
            <w:r w:rsidRPr="0022554A">
              <w:rPr>
                <w:sz w:val="20"/>
              </w:rPr>
              <w:t>9</w:t>
            </w:r>
          </w:p>
        </w:tc>
        <w:tc>
          <w:tcPr>
            <w:tcW w:w="4705" w:type="dxa"/>
            <w:gridSpan w:val="2"/>
          </w:tcPr>
          <w:p w:rsidR="00191A23" w:rsidRDefault="00191A23" w:rsidP="0022554A">
            <w:pPr>
              <w:tabs>
                <w:tab w:val="left" w:pos="5400"/>
              </w:tabs>
              <w:rPr>
                <w:color w:val="000000"/>
                <w:sz w:val="20"/>
              </w:rPr>
            </w:pPr>
            <w:r w:rsidRPr="0022554A">
              <w:rPr>
                <w:color w:val="000000"/>
                <w:sz w:val="20"/>
              </w:rPr>
              <w:t>Describe any efforts to address potential sources of bias</w:t>
            </w:r>
          </w:p>
          <w:p w:rsidR="00FF28A8" w:rsidRPr="0022554A" w:rsidRDefault="00FF28A8" w:rsidP="0022554A">
            <w:pPr>
              <w:tabs>
                <w:tab w:val="left" w:pos="5400"/>
              </w:tabs>
              <w:rPr>
                <w:color w:val="000000"/>
                <w:sz w:val="20"/>
              </w:rPr>
            </w:pPr>
          </w:p>
        </w:tc>
        <w:tc>
          <w:tcPr>
            <w:tcW w:w="627" w:type="dxa"/>
            <w:gridSpan w:val="2"/>
          </w:tcPr>
          <w:p w:rsidR="00191A23" w:rsidRPr="0022554A" w:rsidRDefault="00FF28A8" w:rsidP="0022554A">
            <w:pPr>
              <w:tabs>
                <w:tab w:val="left" w:pos="5400"/>
              </w:tabs>
              <w:rPr>
                <w:color w:val="000000"/>
                <w:sz w:val="20"/>
              </w:rPr>
            </w:pPr>
            <w:r>
              <w:rPr>
                <w:color w:val="000000"/>
                <w:sz w:val="20"/>
              </w:rPr>
              <w:t>7</w:t>
            </w:r>
          </w:p>
        </w:tc>
        <w:tc>
          <w:tcPr>
            <w:tcW w:w="5431" w:type="dxa"/>
            <w:gridSpan w:val="3"/>
          </w:tcPr>
          <w:p w:rsidR="00191A23" w:rsidRPr="0022554A" w:rsidRDefault="00FF28A8" w:rsidP="0022554A">
            <w:pPr>
              <w:tabs>
                <w:tab w:val="left" w:pos="5400"/>
              </w:tabs>
              <w:rPr>
                <w:color w:val="000000"/>
                <w:sz w:val="20"/>
              </w:rPr>
            </w:pPr>
            <w:r w:rsidRPr="005422CA">
              <w:rPr>
                <w:szCs w:val="24"/>
                <w:lang w:eastAsia="en-GB"/>
              </w:rPr>
              <w:t>They first reviewed all radiographic classifications schemes and agreed on definitions and landmarks. They then evaluated all radiographs independently and their inter-rater reliability was established.</w:t>
            </w:r>
          </w:p>
        </w:tc>
      </w:tr>
      <w:tr w:rsidR="00FF28A8" w:rsidRPr="0022554A" w:rsidTr="00595C7B">
        <w:trPr>
          <w:gridAfter w:val="2"/>
          <w:wAfter w:w="2655" w:type="dxa"/>
        </w:trPr>
        <w:tc>
          <w:tcPr>
            <w:tcW w:w="0" w:type="auto"/>
          </w:tcPr>
          <w:p w:rsidR="00191A23" w:rsidRPr="0022554A" w:rsidRDefault="00191A23" w:rsidP="0022554A">
            <w:pPr>
              <w:tabs>
                <w:tab w:val="left" w:pos="5400"/>
              </w:tabs>
              <w:rPr>
                <w:bCs/>
                <w:sz w:val="20"/>
              </w:rPr>
            </w:pPr>
            <w:bookmarkStart w:id="40" w:name="bold21" w:colFirst="0" w:colLast="0"/>
            <w:bookmarkStart w:id="41" w:name="italic21" w:colFirst="0" w:colLast="0"/>
            <w:bookmarkEnd w:id="38"/>
            <w:bookmarkEnd w:id="39"/>
            <w:r w:rsidRPr="0022554A">
              <w:rPr>
                <w:bCs/>
                <w:sz w:val="20"/>
              </w:rPr>
              <w:t>Study size</w:t>
            </w:r>
          </w:p>
        </w:tc>
        <w:tc>
          <w:tcPr>
            <w:tcW w:w="0" w:type="auto"/>
          </w:tcPr>
          <w:p w:rsidR="00191A23" w:rsidRPr="0022554A" w:rsidRDefault="00191A23" w:rsidP="0022554A">
            <w:pPr>
              <w:tabs>
                <w:tab w:val="left" w:pos="5400"/>
              </w:tabs>
              <w:jc w:val="center"/>
              <w:rPr>
                <w:sz w:val="20"/>
              </w:rPr>
            </w:pPr>
            <w:r w:rsidRPr="0022554A">
              <w:rPr>
                <w:sz w:val="20"/>
              </w:rPr>
              <w:t>10</w:t>
            </w:r>
          </w:p>
        </w:tc>
        <w:tc>
          <w:tcPr>
            <w:tcW w:w="4705" w:type="dxa"/>
            <w:gridSpan w:val="2"/>
          </w:tcPr>
          <w:p w:rsidR="00191A23" w:rsidRDefault="00191A23" w:rsidP="00FF28A8">
            <w:pPr>
              <w:tabs>
                <w:tab w:val="right" w:pos="7815"/>
              </w:tabs>
              <w:rPr>
                <w:sz w:val="20"/>
              </w:rPr>
            </w:pPr>
            <w:r w:rsidRPr="0022554A">
              <w:rPr>
                <w:sz w:val="20"/>
              </w:rPr>
              <w:t>Explain how the study size was arrived at</w:t>
            </w:r>
            <w:r w:rsidR="00FF28A8">
              <w:rPr>
                <w:sz w:val="20"/>
              </w:rPr>
              <w:tab/>
              <w:t>9</w:t>
            </w:r>
          </w:p>
          <w:p w:rsidR="00FF28A8" w:rsidRPr="0022554A" w:rsidRDefault="00FF28A8" w:rsidP="0022554A">
            <w:pPr>
              <w:tabs>
                <w:tab w:val="left" w:pos="5400"/>
              </w:tabs>
              <w:rPr>
                <w:sz w:val="20"/>
              </w:rPr>
            </w:pPr>
          </w:p>
        </w:tc>
        <w:tc>
          <w:tcPr>
            <w:tcW w:w="627" w:type="dxa"/>
            <w:gridSpan w:val="2"/>
          </w:tcPr>
          <w:p w:rsidR="00191A23" w:rsidRPr="0022554A" w:rsidRDefault="00FF28A8" w:rsidP="00FF28A8">
            <w:pPr>
              <w:tabs>
                <w:tab w:val="left" w:pos="5400"/>
              </w:tabs>
              <w:ind w:left="-140"/>
              <w:rPr>
                <w:sz w:val="20"/>
              </w:rPr>
            </w:pPr>
            <w:r>
              <w:rPr>
                <w:sz w:val="20"/>
              </w:rPr>
              <w:lastRenderedPageBreak/>
              <w:t xml:space="preserve"> 8</w:t>
            </w:r>
          </w:p>
        </w:tc>
        <w:tc>
          <w:tcPr>
            <w:tcW w:w="5431" w:type="dxa"/>
            <w:gridSpan w:val="3"/>
          </w:tcPr>
          <w:p w:rsidR="00191A23" w:rsidRPr="0022554A" w:rsidRDefault="00FF28A8" w:rsidP="0022554A">
            <w:pPr>
              <w:tabs>
                <w:tab w:val="left" w:pos="5400"/>
              </w:tabs>
              <w:rPr>
                <w:sz w:val="20"/>
              </w:rPr>
            </w:pPr>
            <w:r w:rsidRPr="005422CA">
              <w:rPr>
                <w:szCs w:val="24"/>
              </w:rPr>
              <w:t>We estimated the sample size according to Cohen</w:t>
            </w:r>
            <w:r>
              <w:rPr>
                <w:szCs w:val="24"/>
              </w:rPr>
              <w:t xml:space="preserve"> </w:t>
            </w:r>
            <w:r>
              <w:rPr>
                <w:szCs w:val="24"/>
              </w:rPr>
              <w:lastRenderedPageBreak/>
              <w:t>[32]</w:t>
            </w:r>
            <w:r w:rsidRPr="005422CA">
              <w:rPr>
                <w:szCs w:val="24"/>
              </w:rPr>
              <w:t xml:space="preserve"> based on the primary outcome, hip function. Established CHOHES scores</w:t>
            </w:r>
            <w:r>
              <w:rPr>
                <w:szCs w:val="24"/>
              </w:rPr>
              <w:t xml:space="preserve"> [12]</w:t>
            </w:r>
            <w:r w:rsidRPr="005422CA">
              <w:rPr>
                <w:szCs w:val="24"/>
              </w:rPr>
              <w:t xml:space="preserve"> of 88, 88, 80 and 78 for Bucholz grades I-IV respectively (SD = 10) gave effect sizes (Cohen’s </w:t>
            </w:r>
            <w:r w:rsidRPr="005422CA">
              <w:rPr>
                <w:i/>
                <w:szCs w:val="24"/>
              </w:rPr>
              <w:t>d</w:t>
            </w:r>
            <w:r w:rsidRPr="005422CA">
              <w:rPr>
                <w:szCs w:val="24"/>
              </w:rPr>
              <w:t xml:space="preserve">) between 0.2 and 0.8. With </w:t>
            </w:r>
            <w:r w:rsidRPr="005422CA">
              <w:rPr>
                <w:szCs w:val="24"/>
              </w:rPr>
              <w:sym w:font="Symbol" w:char="F061"/>
            </w:r>
            <w:r w:rsidRPr="005422CA">
              <w:rPr>
                <w:szCs w:val="24"/>
              </w:rPr>
              <w:t xml:space="preserve">= 0.5 and </w:t>
            </w:r>
            <w:r w:rsidRPr="005422CA">
              <w:rPr>
                <w:szCs w:val="24"/>
              </w:rPr>
              <w:sym w:font="Symbol" w:char="F062"/>
            </w:r>
            <w:r w:rsidRPr="005422CA">
              <w:rPr>
                <w:szCs w:val="24"/>
              </w:rPr>
              <w:t>= 0.20, we estimated at least 15 patients were needed for each Bucholz-Ogden grade examined. In order to adjust for three variables, at least 105 patients with osteonecrosis were required (15 further patients for each additional variable)</w:t>
            </w:r>
          </w:p>
        </w:tc>
      </w:tr>
      <w:tr w:rsidR="00FF28A8" w:rsidRPr="0022554A" w:rsidTr="00595C7B">
        <w:trPr>
          <w:gridAfter w:val="1"/>
          <w:wAfter w:w="577" w:type="dxa"/>
        </w:trPr>
        <w:tc>
          <w:tcPr>
            <w:tcW w:w="1949" w:type="dxa"/>
          </w:tcPr>
          <w:p w:rsidR="00191A23" w:rsidRPr="0022554A" w:rsidRDefault="00191A23" w:rsidP="00191A23">
            <w:pPr>
              <w:tabs>
                <w:tab w:val="left" w:pos="5400"/>
              </w:tabs>
              <w:rPr>
                <w:bCs/>
                <w:sz w:val="20"/>
              </w:rPr>
            </w:pPr>
            <w:bookmarkStart w:id="42" w:name="bold22"/>
            <w:bookmarkStart w:id="43" w:name="italic22"/>
            <w:bookmarkEnd w:id="40"/>
            <w:bookmarkEnd w:id="41"/>
            <w:r>
              <w:lastRenderedPageBreak/>
              <w:br w:type="page"/>
            </w:r>
            <w:r w:rsidRPr="0022554A">
              <w:rPr>
                <w:bCs/>
                <w:sz w:val="20"/>
              </w:rPr>
              <w:t>Quantitative</w:t>
            </w:r>
            <w:bookmarkStart w:id="44" w:name="bold23"/>
            <w:bookmarkStart w:id="45" w:name="italic23"/>
            <w:bookmarkEnd w:id="42"/>
            <w:bookmarkEnd w:id="43"/>
            <w:r w:rsidRPr="0022554A">
              <w:rPr>
                <w:bCs/>
                <w:sz w:val="20"/>
              </w:rPr>
              <w:t xml:space="preserve"> variables</w:t>
            </w:r>
            <w:bookmarkEnd w:id="44"/>
            <w:bookmarkEnd w:id="45"/>
          </w:p>
        </w:tc>
        <w:tc>
          <w:tcPr>
            <w:tcW w:w="716" w:type="dxa"/>
          </w:tcPr>
          <w:p w:rsidR="00191A23" w:rsidRPr="0022554A" w:rsidRDefault="00191A23" w:rsidP="00191A23">
            <w:pPr>
              <w:tabs>
                <w:tab w:val="left" w:pos="5400"/>
              </w:tabs>
              <w:jc w:val="center"/>
              <w:rPr>
                <w:sz w:val="20"/>
              </w:rPr>
            </w:pPr>
            <w:r w:rsidRPr="0022554A">
              <w:rPr>
                <w:sz w:val="20"/>
              </w:rPr>
              <w:t>11</w:t>
            </w:r>
          </w:p>
        </w:tc>
        <w:tc>
          <w:tcPr>
            <w:tcW w:w="4237" w:type="dxa"/>
          </w:tcPr>
          <w:p w:rsidR="00FF28A8" w:rsidRDefault="00191A23" w:rsidP="00FF28A8">
            <w:pPr>
              <w:tabs>
                <w:tab w:val="left" w:pos="5400"/>
              </w:tabs>
              <w:rPr>
                <w:sz w:val="20"/>
              </w:rPr>
            </w:pPr>
            <w:r w:rsidRPr="0022554A">
              <w:rPr>
                <w:sz w:val="20"/>
              </w:rPr>
              <w:t>Explain how quantitative variables were handled in the analyses.</w:t>
            </w:r>
            <w:r w:rsidR="00FF28A8">
              <w:rPr>
                <w:sz w:val="20"/>
              </w:rPr>
              <w:t xml:space="preserve">   </w:t>
            </w:r>
          </w:p>
          <w:p w:rsidR="00FF28A8" w:rsidRDefault="00191A23" w:rsidP="00FF28A8">
            <w:pPr>
              <w:tabs>
                <w:tab w:val="left" w:pos="5400"/>
              </w:tabs>
              <w:rPr>
                <w:sz w:val="20"/>
              </w:rPr>
            </w:pPr>
            <w:r w:rsidRPr="0022554A">
              <w:rPr>
                <w:sz w:val="20"/>
              </w:rPr>
              <w:t xml:space="preserve"> If</w:t>
            </w:r>
            <w:r w:rsidR="00FF28A8">
              <w:rPr>
                <w:sz w:val="20"/>
              </w:rPr>
              <w:t xml:space="preserve"> </w:t>
            </w:r>
            <w:r w:rsidRPr="0022554A">
              <w:rPr>
                <w:sz w:val="20"/>
              </w:rPr>
              <w:t xml:space="preserve"> applicable, describe which groupings were chosen and why</w:t>
            </w:r>
          </w:p>
          <w:p w:rsidR="00FF28A8" w:rsidRPr="0022554A" w:rsidRDefault="00FF28A8" w:rsidP="00FF28A8">
            <w:pPr>
              <w:tabs>
                <w:tab w:val="left" w:pos="5400"/>
              </w:tabs>
              <w:rPr>
                <w:sz w:val="20"/>
              </w:rPr>
            </w:pPr>
          </w:p>
        </w:tc>
        <w:tc>
          <w:tcPr>
            <w:tcW w:w="5822" w:type="dxa"/>
            <w:gridSpan w:val="4"/>
          </w:tcPr>
          <w:p w:rsidR="00191A23" w:rsidRPr="0022554A" w:rsidRDefault="00FF28A8" w:rsidP="00FF28A8">
            <w:pPr>
              <w:tabs>
                <w:tab w:val="left" w:pos="5400"/>
              </w:tabs>
              <w:ind w:left="1035"/>
              <w:rPr>
                <w:sz w:val="20"/>
              </w:rPr>
            </w:pPr>
            <w:r w:rsidRPr="005422CA">
              <w:rPr>
                <w:szCs w:val="24"/>
              </w:rPr>
              <w:t>We summarised scores and patient characteristics with means and standard deviations, or medians and inter-quartile range in non-normally distributed data.</w:t>
            </w:r>
          </w:p>
        </w:tc>
        <w:tc>
          <w:tcPr>
            <w:tcW w:w="2782" w:type="dxa"/>
            <w:gridSpan w:val="3"/>
          </w:tcPr>
          <w:p w:rsidR="00191A23" w:rsidRPr="0022554A" w:rsidRDefault="00191A23" w:rsidP="00191A23">
            <w:pPr>
              <w:tabs>
                <w:tab w:val="left" w:pos="5400"/>
              </w:tabs>
              <w:rPr>
                <w:sz w:val="20"/>
              </w:rPr>
            </w:pPr>
          </w:p>
        </w:tc>
      </w:tr>
      <w:tr w:rsidR="00FF28A8" w:rsidRPr="0022554A" w:rsidTr="00595C7B">
        <w:tc>
          <w:tcPr>
            <w:tcW w:w="1949" w:type="dxa"/>
            <w:vMerge w:val="restart"/>
          </w:tcPr>
          <w:p w:rsidR="00191A23" w:rsidRPr="0022554A" w:rsidRDefault="00191A23" w:rsidP="00191A23">
            <w:pPr>
              <w:tabs>
                <w:tab w:val="left" w:pos="5400"/>
              </w:tabs>
              <w:rPr>
                <w:sz w:val="20"/>
              </w:rPr>
            </w:pPr>
            <w:bookmarkStart w:id="46" w:name="italic24"/>
            <w:r w:rsidRPr="0022554A">
              <w:rPr>
                <w:sz w:val="20"/>
              </w:rPr>
              <w:t>Statistical</w:t>
            </w:r>
            <w:bookmarkStart w:id="47" w:name="italic25"/>
            <w:bookmarkEnd w:id="46"/>
            <w:r w:rsidRPr="0022554A">
              <w:rPr>
                <w:sz w:val="20"/>
              </w:rPr>
              <w:t xml:space="preserve"> methods</w:t>
            </w:r>
            <w:bookmarkEnd w:id="47"/>
          </w:p>
        </w:tc>
        <w:tc>
          <w:tcPr>
            <w:tcW w:w="716" w:type="dxa"/>
            <w:vMerge w:val="restart"/>
          </w:tcPr>
          <w:p w:rsidR="00191A23" w:rsidRPr="0022554A" w:rsidRDefault="00191A23" w:rsidP="00191A23">
            <w:pPr>
              <w:tabs>
                <w:tab w:val="left" w:pos="5400"/>
              </w:tabs>
              <w:jc w:val="center"/>
              <w:rPr>
                <w:sz w:val="20"/>
              </w:rPr>
            </w:pPr>
            <w:r w:rsidRPr="0022554A">
              <w:rPr>
                <w:sz w:val="20"/>
              </w:rPr>
              <w:t>12</w:t>
            </w:r>
          </w:p>
        </w:tc>
        <w:tc>
          <w:tcPr>
            <w:tcW w:w="4814" w:type="dxa"/>
            <w:gridSpan w:val="3"/>
          </w:tcPr>
          <w:p w:rsidR="00191A23" w:rsidRPr="00FF28A8" w:rsidRDefault="00191A23" w:rsidP="00FF28A8">
            <w:pPr>
              <w:pStyle w:val="ListParagraph"/>
              <w:numPr>
                <w:ilvl w:val="0"/>
                <w:numId w:val="22"/>
              </w:numPr>
              <w:tabs>
                <w:tab w:val="left" w:pos="5400"/>
              </w:tabs>
              <w:rPr>
                <w:sz w:val="20"/>
              </w:rPr>
            </w:pPr>
            <w:r w:rsidRPr="00FF28A8">
              <w:rPr>
                <w:sz w:val="20"/>
              </w:rPr>
              <w:t xml:space="preserve">Describe all statistical methods, including those used to </w:t>
            </w:r>
            <w:r w:rsidR="00FF28A8">
              <w:rPr>
                <w:sz w:val="20"/>
              </w:rPr>
              <w:t xml:space="preserve">  </w:t>
            </w:r>
            <w:r w:rsidRPr="00FF28A8">
              <w:rPr>
                <w:sz w:val="20"/>
              </w:rPr>
              <w:t>control for confounding</w:t>
            </w:r>
          </w:p>
          <w:p w:rsidR="00FF28A8" w:rsidRDefault="00FF28A8" w:rsidP="00FF28A8">
            <w:pPr>
              <w:pStyle w:val="ListParagraph"/>
              <w:tabs>
                <w:tab w:val="left" w:pos="5400"/>
              </w:tabs>
              <w:rPr>
                <w:szCs w:val="24"/>
              </w:rPr>
            </w:pPr>
          </w:p>
          <w:p w:rsidR="00FF28A8" w:rsidRPr="00FF28A8" w:rsidRDefault="00FF28A8" w:rsidP="00FF28A8">
            <w:pPr>
              <w:pStyle w:val="ListParagraph"/>
              <w:tabs>
                <w:tab w:val="left" w:pos="5400"/>
              </w:tabs>
              <w:rPr>
                <w:sz w:val="20"/>
              </w:rPr>
            </w:pPr>
          </w:p>
        </w:tc>
        <w:tc>
          <w:tcPr>
            <w:tcW w:w="5822" w:type="dxa"/>
            <w:gridSpan w:val="3"/>
          </w:tcPr>
          <w:p w:rsidR="00191A23" w:rsidRPr="0022554A" w:rsidRDefault="00FF28A8" w:rsidP="00FF28A8">
            <w:pPr>
              <w:tabs>
                <w:tab w:val="left" w:pos="5400"/>
              </w:tabs>
              <w:ind w:left="459" w:firstLine="459"/>
              <w:rPr>
                <w:sz w:val="20"/>
              </w:rPr>
            </w:pPr>
            <w:r w:rsidRPr="005422CA">
              <w:rPr>
                <w:szCs w:val="24"/>
              </w:rPr>
              <w:t>We determined the relationship between osteonecrosis and hip function, physical function and health status with linear mixed-effects regression models</w:t>
            </w:r>
            <w:r>
              <w:rPr>
                <w:szCs w:val="24"/>
              </w:rPr>
              <w:t xml:space="preserve"> [26]</w:t>
            </w:r>
            <w:r w:rsidRPr="005422CA">
              <w:rPr>
                <w:szCs w:val="24"/>
              </w:rPr>
              <w:t xml:space="preserve"> in order to account for within-subject correlation among 37 patients with bilateral osteonecrosis. We decided a priori to adjust all analyses for the total number of operations (with the exception of implant removal) any hip had undergone prior to the study assessment</w:t>
            </w:r>
            <w:r>
              <w:rPr>
                <w:szCs w:val="24"/>
              </w:rPr>
              <w:t xml:space="preserve"> [12]</w:t>
            </w:r>
            <w:r w:rsidRPr="005422CA">
              <w:rPr>
                <w:szCs w:val="24"/>
                <w:lang w:eastAsia="en-GB"/>
              </w:rPr>
              <w:t>;</w:t>
            </w:r>
            <w:r w:rsidRPr="005422CA">
              <w:rPr>
                <w:szCs w:val="24"/>
              </w:rPr>
              <w:t xml:space="preserve"> the degree of acetabular dysplasia at the most recent radiograph</w:t>
            </w:r>
            <w:r>
              <w:rPr>
                <w:szCs w:val="24"/>
              </w:rPr>
              <w:t xml:space="preserve"> [27]</w:t>
            </w:r>
            <w:r w:rsidRPr="005422CA">
              <w:rPr>
                <w:szCs w:val="24"/>
              </w:rPr>
              <w:t>; and the age at study assessment</w:t>
            </w:r>
            <w:r>
              <w:rPr>
                <w:szCs w:val="24"/>
              </w:rPr>
              <w:t xml:space="preserve"> [12]</w:t>
            </w:r>
            <w:r w:rsidRPr="005422CA">
              <w:rPr>
                <w:szCs w:val="24"/>
                <w:lang w:eastAsia="en-GB"/>
              </w:rPr>
              <w:t>.</w:t>
            </w:r>
            <w:r w:rsidRPr="005422CA">
              <w:rPr>
                <w:szCs w:val="24"/>
              </w:rPr>
              <w:t xml:space="preserve"> We fitted models for each outcome measure (hip function, physical function, health status) using a backwards stepwise approach</w:t>
            </w:r>
            <w:r>
              <w:rPr>
                <w:szCs w:val="24"/>
              </w:rPr>
              <w:t xml:space="preserve"> [28]</w:t>
            </w:r>
            <w:r w:rsidRPr="005422CA">
              <w:rPr>
                <w:szCs w:val="24"/>
              </w:rPr>
              <w:t xml:space="preserve">. We used </w:t>
            </w:r>
            <w:proofErr w:type="spellStart"/>
            <w:r w:rsidRPr="005422CA">
              <w:rPr>
                <w:szCs w:val="24"/>
              </w:rPr>
              <w:t>Akaike’s</w:t>
            </w:r>
            <w:proofErr w:type="spellEnd"/>
            <w:r w:rsidRPr="005422CA">
              <w:rPr>
                <w:szCs w:val="24"/>
              </w:rPr>
              <w:t xml:space="preserve"> Information Criterion (AIC)</w:t>
            </w:r>
            <w:r>
              <w:rPr>
                <w:szCs w:val="24"/>
              </w:rPr>
              <w:t xml:space="preserve"> [29]</w:t>
            </w:r>
            <w:r w:rsidRPr="005422CA">
              <w:rPr>
                <w:szCs w:val="24"/>
              </w:rPr>
              <w:t xml:space="preserve"> to assess goodness of fit. We reported least squared means for adjusted outcome scores.</w:t>
            </w:r>
          </w:p>
        </w:tc>
        <w:tc>
          <w:tcPr>
            <w:tcW w:w="2782" w:type="dxa"/>
            <w:gridSpan w:val="3"/>
          </w:tcPr>
          <w:p w:rsidR="00191A23" w:rsidRPr="0022554A" w:rsidRDefault="00191A23" w:rsidP="00191A23">
            <w:pPr>
              <w:tabs>
                <w:tab w:val="left" w:pos="5400"/>
              </w:tabs>
              <w:rPr>
                <w:sz w:val="20"/>
              </w:rPr>
            </w:pPr>
          </w:p>
        </w:tc>
      </w:tr>
      <w:tr w:rsidR="00FF28A8" w:rsidRPr="0022554A" w:rsidTr="00595C7B">
        <w:tc>
          <w:tcPr>
            <w:tcW w:w="1949" w:type="dxa"/>
            <w:vMerge/>
          </w:tcPr>
          <w:p w:rsidR="00191A23" w:rsidRPr="0022554A" w:rsidRDefault="00191A23" w:rsidP="00191A23">
            <w:pPr>
              <w:tabs>
                <w:tab w:val="left" w:pos="5400"/>
              </w:tabs>
              <w:rPr>
                <w:bCs/>
                <w:sz w:val="20"/>
              </w:rPr>
            </w:pPr>
            <w:bookmarkStart w:id="48" w:name="bold24" w:colFirst="0" w:colLast="0"/>
            <w:bookmarkStart w:id="49" w:name="italic26" w:colFirst="0" w:colLast="0"/>
          </w:p>
        </w:tc>
        <w:tc>
          <w:tcPr>
            <w:tcW w:w="716" w:type="dxa"/>
            <w:vMerge/>
          </w:tcPr>
          <w:p w:rsidR="00191A23" w:rsidRPr="0022554A" w:rsidRDefault="00191A23" w:rsidP="00191A23">
            <w:pPr>
              <w:tabs>
                <w:tab w:val="left" w:pos="5400"/>
              </w:tabs>
              <w:jc w:val="center"/>
              <w:rPr>
                <w:sz w:val="20"/>
              </w:rPr>
            </w:pPr>
          </w:p>
        </w:tc>
        <w:tc>
          <w:tcPr>
            <w:tcW w:w="4814" w:type="dxa"/>
            <w:gridSpan w:val="3"/>
          </w:tcPr>
          <w:p w:rsidR="00191A23" w:rsidRPr="00FF28A8" w:rsidRDefault="00191A23" w:rsidP="00FF28A8">
            <w:pPr>
              <w:pStyle w:val="ListParagraph"/>
              <w:numPr>
                <w:ilvl w:val="0"/>
                <w:numId w:val="22"/>
              </w:numPr>
              <w:tabs>
                <w:tab w:val="left" w:pos="5400"/>
              </w:tabs>
              <w:rPr>
                <w:sz w:val="20"/>
              </w:rPr>
            </w:pPr>
            <w:r w:rsidRPr="00FF28A8">
              <w:rPr>
                <w:sz w:val="20"/>
              </w:rPr>
              <w:t xml:space="preserve">Describe any methods used to examine subgroups and </w:t>
            </w:r>
            <w:r w:rsidR="00FF28A8">
              <w:rPr>
                <w:sz w:val="20"/>
              </w:rPr>
              <w:t xml:space="preserve">  </w:t>
            </w:r>
            <w:r w:rsidRPr="00FF28A8">
              <w:rPr>
                <w:sz w:val="20"/>
              </w:rPr>
              <w:t>interactions</w:t>
            </w:r>
          </w:p>
          <w:p w:rsidR="00FF28A8" w:rsidRDefault="00FF28A8" w:rsidP="00FF28A8">
            <w:pPr>
              <w:tabs>
                <w:tab w:val="left" w:pos="5400"/>
              </w:tabs>
              <w:ind w:left="360"/>
              <w:rPr>
                <w:sz w:val="20"/>
              </w:rPr>
            </w:pPr>
          </w:p>
          <w:p w:rsidR="00FF28A8" w:rsidRPr="00FF28A8" w:rsidRDefault="00FF28A8" w:rsidP="00FF28A8">
            <w:pPr>
              <w:tabs>
                <w:tab w:val="left" w:pos="5400"/>
              </w:tabs>
              <w:ind w:left="360"/>
              <w:rPr>
                <w:sz w:val="20"/>
              </w:rPr>
            </w:pPr>
          </w:p>
        </w:tc>
        <w:tc>
          <w:tcPr>
            <w:tcW w:w="5822" w:type="dxa"/>
            <w:gridSpan w:val="3"/>
          </w:tcPr>
          <w:p w:rsidR="00191A23" w:rsidRPr="0022554A" w:rsidRDefault="00FF28A8" w:rsidP="00FF28A8">
            <w:pPr>
              <w:tabs>
                <w:tab w:val="left" w:pos="5400"/>
              </w:tabs>
              <w:ind w:left="459" w:firstLine="459"/>
              <w:rPr>
                <w:sz w:val="20"/>
              </w:rPr>
            </w:pPr>
            <w:r w:rsidRPr="005422CA">
              <w:rPr>
                <w:szCs w:val="24"/>
              </w:rPr>
              <w:t>Subgroup analyses showed hip function differed in those with osteonecrosis grades III/IV when compared with no osteonecrosis (p &lt; 0.01) but not when compared with grades I/II (p = 0.05).</w:t>
            </w:r>
          </w:p>
        </w:tc>
        <w:tc>
          <w:tcPr>
            <w:tcW w:w="2782" w:type="dxa"/>
            <w:gridSpan w:val="3"/>
          </w:tcPr>
          <w:p w:rsidR="00191A23" w:rsidRPr="0022554A" w:rsidRDefault="00191A23" w:rsidP="00191A23">
            <w:pPr>
              <w:tabs>
                <w:tab w:val="left" w:pos="5400"/>
              </w:tabs>
              <w:rPr>
                <w:sz w:val="20"/>
              </w:rPr>
            </w:pPr>
          </w:p>
        </w:tc>
      </w:tr>
      <w:tr w:rsidR="00FF28A8" w:rsidRPr="0022554A" w:rsidTr="00595C7B">
        <w:trPr>
          <w:gridAfter w:val="1"/>
          <w:wAfter w:w="577" w:type="dxa"/>
        </w:trPr>
        <w:tc>
          <w:tcPr>
            <w:tcW w:w="1949" w:type="dxa"/>
            <w:vMerge/>
          </w:tcPr>
          <w:p w:rsidR="00191A23" w:rsidRPr="0022554A" w:rsidRDefault="00191A23" w:rsidP="00191A23">
            <w:pPr>
              <w:tabs>
                <w:tab w:val="left" w:pos="5400"/>
              </w:tabs>
              <w:rPr>
                <w:bCs/>
                <w:sz w:val="20"/>
              </w:rPr>
            </w:pPr>
            <w:bookmarkStart w:id="50" w:name="bold25" w:colFirst="0" w:colLast="0"/>
            <w:bookmarkStart w:id="51" w:name="italic27" w:colFirst="0" w:colLast="0"/>
            <w:bookmarkEnd w:id="48"/>
            <w:bookmarkEnd w:id="49"/>
          </w:p>
        </w:tc>
        <w:tc>
          <w:tcPr>
            <w:tcW w:w="716" w:type="dxa"/>
            <w:vMerge/>
          </w:tcPr>
          <w:p w:rsidR="00191A23" w:rsidRPr="0022554A" w:rsidRDefault="00191A23" w:rsidP="00191A23">
            <w:pPr>
              <w:tabs>
                <w:tab w:val="left" w:pos="5400"/>
              </w:tabs>
              <w:jc w:val="center"/>
              <w:rPr>
                <w:sz w:val="20"/>
              </w:rPr>
            </w:pPr>
          </w:p>
        </w:tc>
        <w:tc>
          <w:tcPr>
            <w:tcW w:w="4237" w:type="dxa"/>
          </w:tcPr>
          <w:p w:rsidR="00191A23" w:rsidRPr="0022554A" w:rsidRDefault="00191A23" w:rsidP="00191A23">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5822" w:type="dxa"/>
            <w:gridSpan w:val="4"/>
          </w:tcPr>
          <w:p w:rsidR="00191A23" w:rsidRPr="0022554A" w:rsidRDefault="00191A23" w:rsidP="00191A23">
            <w:pPr>
              <w:tabs>
                <w:tab w:val="left" w:pos="5400"/>
              </w:tabs>
              <w:rPr>
                <w:sz w:val="20"/>
              </w:rPr>
            </w:pPr>
          </w:p>
        </w:tc>
        <w:tc>
          <w:tcPr>
            <w:tcW w:w="2782" w:type="dxa"/>
            <w:gridSpan w:val="3"/>
          </w:tcPr>
          <w:p w:rsidR="00191A23" w:rsidRPr="0022554A" w:rsidRDefault="00191A23" w:rsidP="00191A23">
            <w:pPr>
              <w:tabs>
                <w:tab w:val="left" w:pos="5400"/>
              </w:tabs>
              <w:rPr>
                <w:sz w:val="20"/>
              </w:rPr>
            </w:pPr>
          </w:p>
        </w:tc>
      </w:tr>
      <w:tr w:rsidR="00FF28A8" w:rsidRPr="0022554A" w:rsidTr="00595C7B">
        <w:trPr>
          <w:gridAfter w:val="1"/>
          <w:wAfter w:w="577" w:type="dxa"/>
        </w:trPr>
        <w:tc>
          <w:tcPr>
            <w:tcW w:w="1949" w:type="dxa"/>
            <w:vMerge/>
          </w:tcPr>
          <w:p w:rsidR="00191A23" w:rsidRPr="0022554A" w:rsidRDefault="00191A23" w:rsidP="00191A23">
            <w:pPr>
              <w:tabs>
                <w:tab w:val="left" w:pos="5400"/>
              </w:tabs>
              <w:rPr>
                <w:bCs/>
                <w:sz w:val="20"/>
              </w:rPr>
            </w:pPr>
            <w:bookmarkStart w:id="52" w:name="bold26" w:colFirst="0" w:colLast="0"/>
            <w:bookmarkStart w:id="53" w:name="italic28" w:colFirst="0" w:colLast="0"/>
            <w:bookmarkEnd w:id="50"/>
            <w:bookmarkEnd w:id="51"/>
          </w:p>
        </w:tc>
        <w:tc>
          <w:tcPr>
            <w:tcW w:w="716" w:type="dxa"/>
            <w:vMerge/>
          </w:tcPr>
          <w:p w:rsidR="00191A23" w:rsidRPr="0022554A" w:rsidRDefault="00191A23" w:rsidP="00191A23">
            <w:pPr>
              <w:tabs>
                <w:tab w:val="left" w:pos="5400"/>
              </w:tabs>
              <w:jc w:val="center"/>
              <w:rPr>
                <w:sz w:val="20"/>
              </w:rPr>
            </w:pPr>
          </w:p>
        </w:tc>
        <w:tc>
          <w:tcPr>
            <w:tcW w:w="4237" w:type="dxa"/>
          </w:tcPr>
          <w:p w:rsidR="00191A23" w:rsidRPr="0022554A" w:rsidRDefault="00191A23" w:rsidP="00191A23">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rsidR="00191A23" w:rsidRPr="0022554A" w:rsidRDefault="00191A23" w:rsidP="00191A23">
            <w:pPr>
              <w:tabs>
                <w:tab w:val="left" w:pos="5400"/>
              </w:tabs>
              <w:rPr>
                <w:sz w:val="20"/>
              </w:rPr>
            </w:pPr>
            <w:r w:rsidRPr="0022554A">
              <w:rPr>
                <w:bCs/>
                <w:i/>
                <w:sz w:val="20"/>
              </w:rPr>
              <w:t>Case-control study</w:t>
            </w:r>
            <w:r w:rsidRPr="0022554A">
              <w:rPr>
                <w:sz w:val="20"/>
              </w:rPr>
              <w:t>—If applicable, explain how matching of cases and controls was addressed</w:t>
            </w:r>
          </w:p>
          <w:p w:rsidR="00191A23" w:rsidRPr="0022554A" w:rsidRDefault="00191A23" w:rsidP="00191A23">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5822" w:type="dxa"/>
            <w:gridSpan w:val="4"/>
          </w:tcPr>
          <w:p w:rsidR="00191A23" w:rsidRPr="0022554A" w:rsidRDefault="00191A23" w:rsidP="00191A23">
            <w:pPr>
              <w:tabs>
                <w:tab w:val="left" w:pos="5400"/>
              </w:tabs>
              <w:rPr>
                <w:sz w:val="20"/>
              </w:rPr>
            </w:pPr>
          </w:p>
        </w:tc>
        <w:tc>
          <w:tcPr>
            <w:tcW w:w="2782" w:type="dxa"/>
            <w:gridSpan w:val="3"/>
          </w:tcPr>
          <w:p w:rsidR="00191A23" w:rsidRPr="0022554A" w:rsidRDefault="00191A23" w:rsidP="00191A23">
            <w:pPr>
              <w:tabs>
                <w:tab w:val="left" w:pos="5400"/>
              </w:tabs>
              <w:rPr>
                <w:sz w:val="20"/>
              </w:rPr>
            </w:pPr>
          </w:p>
        </w:tc>
      </w:tr>
      <w:tr w:rsidR="00FF28A8" w:rsidRPr="0022554A" w:rsidTr="00595C7B">
        <w:trPr>
          <w:gridAfter w:val="1"/>
          <w:wAfter w:w="577" w:type="dxa"/>
        </w:trPr>
        <w:tc>
          <w:tcPr>
            <w:tcW w:w="1949" w:type="dxa"/>
            <w:vMerge/>
          </w:tcPr>
          <w:p w:rsidR="00191A23" w:rsidRPr="0022554A" w:rsidRDefault="00191A23" w:rsidP="00191A23">
            <w:pPr>
              <w:tabs>
                <w:tab w:val="left" w:pos="5400"/>
              </w:tabs>
              <w:rPr>
                <w:bCs/>
                <w:sz w:val="20"/>
              </w:rPr>
            </w:pPr>
            <w:bookmarkStart w:id="54" w:name="bold27" w:colFirst="0" w:colLast="0"/>
            <w:bookmarkStart w:id="55" w:name="italic29" w:colFirst="0" w:colLast="0"/>
            <w:bookmarkEnd w:id="52"/>
            <w:bookmarkEnd w:id="53"/>
          </w:p>
        </w:tc>
        <w:tc>
          <w:tcPr>
            <w:tcW w:w="716" w:type="dxa"/>
            <w:vMerge/>
          </w:tcPr>
          <w:p w:rsidR="00191A23" w:rsidRPr="0022554A" w:rsidRDefault="00191A23" w:rsidP="00191A23">
            <w:pPr>
              <w:tabs>
                <w:tab w:val="left" w:pos="5400"/>
              </w:tabs>
              <w:jc w:val="center"/>
              <w:rPr>
                <w:sz w:val="20"/>
              </w:rPr>
            </w:pPr>
          </w:p>
        </w:tc>
        <w:tc>
          <w:tcPr>
            <w:tcW w:w="4237" w:type="dxa"/>
          </w:tcPr>
          <w:p w:rsidR="00191A23" w:rsidRPr="0022554A" w:rsidRDefault="00191A23" w:rsidP="00191A23">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5822" w:type="dxa"/>
            <w:gridSpan w:val="4"/>
          </w:tcPr>
          <w:p w:rsidR="00191A23" w:rsidRPr="0022554A" w:rsidRDefault="00191A23" w:rsidP="00191A23">
            <w:pPr>
              <w:tabs>
                <w:tab w:val="left" w:pos="5400"/>
              </w:tabs>
              <w:rPr>
                <w:sz w:val="20"/>
              </w:rPr>
            </w:pPr>
          </w:p>
        </w:tc>
        <w:tc>
          <w:tcPr>
            <w:tcW w:w="2782" w:type="dxa"/>
            <w:gridSpan w:val="3"/>
          </w:tcPr>
          <w:p w:rsidR="00191A23" w:rsidRPr="0022554A" w:rsidRDefault="00191A23" w:rsidP="00191A23">
            <w:pPr>
              <w:tabs>
                <w:tab w:val="left" w:pos="5400"/>
              </w:tabs>
              <w:rPr>
                <w:sz w:val="20"/>
              </w:rPr>
            </w:pPr>
          </w:p>
        </w:tc>
      </w:tr>
      <w:bookmarkEnd w:id="54"/>
      <w:bookmarkEnd w:id="55"/>
      <w:tr w:rsidR="00191A23" w:rsidRPr="0022554A" w:rsidTr="00595C7B">
        <w:trPr>
          <w:gridAfter w:val="1"/>
          <w:wAfter w:w="577" w:type="dxa"/>
        </w:trPr>
        <w:tc>
          <w:tcPr>
            <w:tcW w:w="15506" w:type="dxa"/>
            <w:gridSpan w:val="10"/>
          </w:tcPr>
          <w:p w:rsidR="00191A23" w:rsidRPr="0022554A" w:rsidRDefault="00191A23" w:rsidP="00191A23">
            <w:pPr>
              <w:pStyle w:val="TableSubHead"/>
              <w:tabs>
                <w:tab w:val="left" w:pos="5400"/>
              </w:tabs>
              <w:rPr>
                <w:sz w:val="20"/>
              </w:rPr>
            </w:pPr>
            <w:r w:rsidRPr="0022554A">
              <w:rPr>
                <w:sz w:val="20"/>
              </w:rPr>
              <w:t>Results</w:t>
            </w:r>
          </w:p>
        </w:tc>
      </w:tr>
      <w:tr w:rsidR="00FF28A8" w:rsidRPr="0022554A" w:rsidTr="00595C7B">
        <w:trPr>
          <w:gridAfter w:val="1"/>
          <w:wAfter w:w="577" w:type="dxa"/>
        </w:trPr>
        <w:tc>
          <w:tcPr>
            <w:tcW w:w="0" w:type="auto"/>
            <w:vMerge w:val="restart"/>
          </w:tcPr>
          <w:p w:rsidR="00191A23" w:rsidRPr="0022554A" w:rsidRDefault="00191A23" w:rsidP="00191A23">
            <w:pPr>
              <w:tabs>
                <w:tab w:val="left" w:pos="5400"/>
              </w:tabs>
              <w:rPr>
                <w:bCs/>
                <w:sz w:val="20"/>
              </w:rPr>
            </w:pPr>
            <w:bookmarkStart w:id="56" w:name="bold29"/>
            <w:bookmarkStart w:id="57" w:name="italic31"/>
            <w:r w:rsidRPr="0022554A">
              <w:rPr>
                <w:bCs/>
                <w:sz w:val="20"/>
              </w:rPr>
              <w:t>Participants</w:t>
            </w:r>
            <w:bookmarkEnd w:id="56"/>
            <w:bookmarkEnd w:id="57"/>
          </w:p>
        </w:tc>
        <w:tc>
          <w:tcPr>
            <w:tcW w:w="0" w:type="auto"/>
            <w:vMerge w:val="restart"/>
          </w:tcPr>
          <w:p w:rsidR="00191A23" w:rsidRPr="0022554A" w:rsidRDefault="00191A23" w:rsidP="00191A23">
            <w:pPr>
              <w:tabs>
                <w:tab w:val="left" w:pos="5400"/>
              </w:tabs>
              <w:jc w:val="center"/>
              <w:rPr>
                <w:sz w:val="20"/>
              </w:rPr>
            </w:pPr>
            <w:r w:rsidRPr="0022554A">
              <w:rPr>
                <w:sz w:val="20"/>
              </w:rPr>
              <w:t>13</w:t>
            </w:r>
            <w:bookmarkStart w:id="58" w:name="bold30"/>
            <w:r w:rsidRPr="0022554A">
              <w:rPr>
                <w:bCs/>
                <w:sz w:val="20"/>
              </w:rPr>
              <w:t>*</w:t>
            </w:r>
            <w:bookmarkEnd w:id="58"/>
          </w:p>
        </w:tc>
        <w:tc>
          <w:tcPr>
            <w:tcW w:w="4237" w:type="dxa"/>
          </w:tcPr>
          <w:p w:rsidR="00FF28A8" w:rsidRDefault="00191A23" w:rsidP="00191A23">
            <w:pPr>
              <w:tabs>
                <w:tab w:val="left" w:pos="5400"/>
              </w:tabs>
              <w:rPr>
                <w:sz w:val="20"/>
              </w:rPr>
            </w:pPr>
            <w:r>
              <w:rPr>
                <w:sz w:val="20"/>
              </w:rPr>
              <w:t xml:space="preserve">(a) </w:t>
            </w:r>
            <w:r w:rsidRPr="0022554A">
              <w:rPr>
                <w:sz w:val="20"/>
              </w:rPr>
              <w:t xml:space="preserve">Report numbers of individuals at each stage of study—eg numbers potentially eligible, examined </w:t>
            </w:r>
          </w:p>
          <w:p w:rsidR="00191A23" w:rsidRPr="0022554A" w:rsidRDefault="00191A23" w:rsidP="00191A23">
            <w:pPr>
              <w:tabs>
                <w:tab w:val="left" w:pos="5400"/>
              </w:tabs>
              <w:rPr>
                <w:sz w:val="20"/>
              </w:rPr>
            </w:pPr>
            <w:r w:rsidRPr="0022554A">
              <w:rPr>
                <w:sz w:val="20"/>
              </w:rPr>
              <w:t>for eligibility, confirmed eligible, included in the study, completing follow-up, and analysed</w:t>
            </w:r>
          </w:p>
        </w:tc>
        <w:tc>
          <w:tcPr>
            <w:tcW w:w="5822" w:type="dxa"/>
            <w:gridSpan w:val="4"/>
          </w:tcPr>
          <w:p w:rsidR="00191A23" w:rsidRDefault="00E665C2" w:rsidP="00595C7B">
            <w:pPr>
              <w:tabs>
                <w:tab w:val="left" w:pos="4864"/>
              </w:tabs>
              <w:ind w:left="895" w:hanging="284"/>
              <w:rPr>
                <w:sz w:val="20"/>
              </w:rPr>
            </w:pPr>
            <w:r>
              <w:rPr>
                <w:sz w:val="20"/>
              </w:rPr>
              <w:t>5</w:t>
            </w:r>
            <w:r w:rsidR="00595C7B">
              <w:rPr>
                <w:sz w:val="20"/>
              </w:rPr>
              <w:t xml:space="preserve">    </w:t>
            </w:r>
            <w:r w:rsidR="00595C7B" w:rsidRPr="005422CA">
              <w:rPr>
                <w:szCs w:val="24"/>
              </w:rPr>
              <w:t>Of 311 eligible patients identified, 160 (51%) had evidence of osteonecrosis as per clinical records and radiography (Fig. 1). These included 72 patients studied in 2011</w:t>
            </w:r>
            <w:r w:rsidR="00595C7B">
              <w:rPr>
                <w:szCs w:val="24"/>
              </w:rPr>
              <w:t xml:space="preserve"> [12]</w:t>
            </w:r>
            <w:r w:rsidR="00595C7B" w:rsidRPr="005422CA">
              <w:rPr>
                <w:szCs w:val="24"/>
              </w:rPr>
              <w:t xml:space="preserve"> when we had measured their hip function, physical function, and health status</w:t>
            </w:r>
          </w:p>
        </w:tc>
        <w:tc>
          <w:tcPr>
            <w:tcW w:w="2782" w:type="dxa"/>
            <w:gridSpan w:val="3"/>
          </w:tcPr>
          <w:p w:rsidR="00191A23" w:rsidRDefault="00191A23" w:rsidP="00FF28A8">
            <w:pPr>
              <w:tabs>
                <w:tab w:val="left" w:pos="5400"/>
              </w:tabs>
              <w:ind w:left="-2395" w:firstLine="2395"/>
              <w:rPr>
                <w:sz w:val="20"/>
              </w:rPr>
            </w:pPr>
          </w:p>
        </w:tc>
      </w:tr>
      <w:tr w:rsidR="00FF28A8" w:rsidRPr="0022554A" w:rsidTr="00595C7B">
        <w:trPr>
          <w:gridAfter w:val="1"/>
          <w:wAfter w:w="577" w:type="dxa"/>
        </w:trPr>
        <w:tc>
          <w:tcPr>
            <w:tcW w:w="0" w:type="auto"/>
            <w:vMerge/>
          </w:tcPr>
          <w:p w:rsidR="00191A23" w:rsidRPr="0022554A" w:rsidRDefault="00191A23" w:rsidP="00191A23">
            <w:pPr>
              <w:tabs>
                <w:tab w:val="left" w:pos="5400"/>
              </w:tabs>
              <w:rPr>
                <w:bCs/>
                <w:sz w:val="20"/>
              </w:rPr>
            </w:pPr>
            <w:bookmarkStart w:id="59" w:name="bold31" w:colFirst="0" w:colLast="0"/>
            <w:bookmarkStart w:id="60" w:name="italic32" w:colFirst="0" w:colLast="0"/>
          </w:p>
        </w:tc>
        <w:tc>
          <w:tcPr>
            <w:tcW w:w="0" w:type="auto"/>
            <w:vMerge/>
          </w:tcPr>
          <w:p w:rsidR="00191A23" w:rsidRPr="0022554A" w:rsidRDefault="00191A23" w:rsidP="00191A23">
            <w:pPr>
              <w:tabs>
                <w:tab w:val="left" w:pos="5400"/>
              </w:tabs>
              <w:jc w:val="center"/>
              <w:rPr>
                <w:sz w:val="20"/>
              </w:rPr>
            </w:pPr>
          </w:p>
        </w:tc>
        <w:tc>
          <w:tcPr>
            <w:tcW w:w="4237" w:type="dxa"/>
          </w:tcPr>
          <w:p w:rsidR="00191A23" w:rsidRPr="0022554A" w:rsidRDefault="00191A23" w:rsidP="00FF28A8">
            <w:pPr>
              <w:tabs>
                <w:tab w:val="right" w:pos="8112"/>
              </w:tabs>
              <w:rPr>
                <w:sz w:val="20"/>
              </w:rPr>
            </w:pPr>
            <w:r>
              <w:rPr>
                <w:sz w:val="20"/>
              </w:rPr>
              <w:t xml:space="preserve">(b) </w:t>
            </w:r>
            <w:r w:rsidRPr="0022554A">
              <w:rPr>
                <w:sz w:val="20"/>
              </w:rPr>
              <w:t>Give reasons for non-participation at each stage</w:t>
            </w:r>
            <w:r w:rsidR="00FF28A8">
              <w:rPr>
                <w:sz w:val="20"/>
              </w:rPr>
              <w:tab/>
              <w:t>6</w:t>
            </w:r>
          </w:p>
        </w:tc>
        <w:tc>
          <w:tcPr>
            <w:tcW w:w="5822" w:type="dxa"/>
            <w:gridSpan w:val="4"/>
          </w:tcPr>
          <w:p w:rsidR="00595C7B" w:rsidRDefault="00595C7B" w:rsidP="00595C7B">
            <w:pPr>
              <w:tabs>
                <w:tab w:val="left" w:pos="5400"/>
              </w:tabs>
              <w:ind w:left="895" w:firstLine="142"/>
              <w:rPr>
                <w:szCs w:val="24"/>
              </w:rPr>
            </w:pPr>
            <w:r>
              <w:rPr>
                <w:szCs w:val="24"/>
              </w:rPr>
              <w:t xml:space="preserve"> </w:t>
            </w:r>
            <w:r w:rsidRPr="005422CA">
              <w:rPr>
                <w:szCs w:val="24"/>
              </w:rPr>
              <w:t>23 could not be recruited (Fig.1). In 18 of the remaining patients we could not ascertain the effects of the osteonecrosis on patient-reported outcomes as 16 had undergone hip arthroplasties and 2 had undergone hip arthrodesis</w:t>
            </w:r>
            <w:r>
              <w:rPr>
                <w:szCs w:val="24"/>
              </w:rPr>
              <w:t>.</w:t>
            </w:r>
          </w:p>
          <w:p w:rsidR="00191A23" w:rsidRDefault="00595C7B" w:rsidP="00595C7B">
            <w:pPr>
              <w:tabs>
                <w:tab w:val="left" w:pos="5400"/>
              </w:tabs>
              <w:ind w:left="753"/>
              <w:rPr>
                <w:sz w:val="20"/>
              </w:rPr>
            </w:pPr>
            <w:r>
              <w:rPr>
                <w:szCs w:val="24"/>
              </w:rPr>
              <w:t xml:space="preserve">  O</w:t>
            </w:r>
            <w:r w:rsidRPr="005422CA">
              <w:rPr>
                <w:szCs w:val="24"/>
              </w:rPr>
              <w:t>f the remaining patients, five had undergone total hip replacements; one patient lived abroad; one was pregnant; one had a mental health condition preventing participation; five could not be contacted; and five declined participation).</w:t>
            </w:r>
          </w:p>
        </w:tc>
        <w:tc>
          <w:tcPr>
            <w:tcW w:w="2782" w:type="dxa"/>
            <w:gridSpan w:val="3"/>
          </w:tcPr>
          <w:p w:rsidR="00FF28A8" w:rsidRDefault="00FF28A8" w:rsidP="00191A23">
            <w:pPr>
              <w:tabs>
                <w:tab w:val="left" w:pos="5400"/>
              </w:tabs>
              <w:rPr>
                <w:sz w:val="20"/>
              </w:rPr>
            </w:pPr>
          </w:p>
        </w:tc>
      </w:tr>
      <w:tr w:rsidR="00FF28A8" w:rsidRPr="0022554A" w:rsidTr="00595C7B">
        <w:trPr>
          <w:gridAfter w:val="1"/>
          <w:wAfter w:w="577" w:type="dxa"/>
        </w:trPr>
        <w:tc>
          <w:tcPr>
            <w:tcW w:w="0" w:type="auto"/>
            <w:vMerge/>
          </w:tcPr>
          <w:p w:rsidR="00191A23" w:rsidRPr="0022554A" w:rsidRDefault="00191A23" w:rsidP="00191A23">
            <w:pPr>
              <w:tabs>
                <w:tab w:val="left" w:pos="5400"/>
              </w:tabs>
              <w:rPr>
                <w:bCs/>
                <w:sz w:val="20"/>
              </w:rPr>
            </w:pPr>
            <w:bookmarkStart w:id="61" w:name="bold32" w:colFirst="0" w:colLast="0"/>
            <w:bookmarkStart w:id="62" w:name="italic33" w:colFirst="0" w:colLast="0"/>
            <w:bookmarkEnd w:id="59"/>
            <w:bookmarkEnd w:id="60"/>
          </w:p>
        </w:tc>
        <w:tc>
          <w:tcPr>
            <w:tcW w:w="0" w:type="auto"/>
            <w:vMerge/>
          </w:tcPr>
          <w:p w:rsidR="00191A23" w:rsidRPr="0022554A" w:rsidRDefault="00191A23" w:rsidP="00191A23">
            <w:pPr>
              <w:tabs>
                <w:tab w:val="left" w:pos="5400"/>
              </w:tabs>
              <w:jc w:val="center"/>
              <w:rPr>
                <w:sz w:val="20"/>
              </w:rPr>
            </w:pPr>
          </w:p>
        </w:tc>
        <w:tc>
          <w:tcPr>
            <w:tcW w:w="4237" w:type="dxa"/>
          </w:tcPr>
          <w:p w:rsidR="00191A23" w:rsidRPr="0022554A" w:rsidRDefault="00191A23" w:rsidP="00191A23">
            <w:pPr>
              <w:tabs>
                <w:tab w:val="left" w:pos="5400"/>
              </w:tabs>
              <w:rPr>
                <w:sz w:val="20"/>
              </w:rPr>
            </w:pPr>
            <w:bookmarkStart w:id="63" w:name="OLE_LINK4"/>
            <w:r>
              <w:rPr>
                <w:sz w:val="20"/>
              </w:rPr>
              <w:t xml:space="preserve">(c) </w:t>
            </w:r>
            <w:r w:rsidRPr="0022554A">
              <w:rPr>
                <w:sz w:val="20"/>
              </w:rPr>
              <w:t>Consider use of a flow diagram</w:t>
            </w:r>
            <w:bookmarkEnd w:id="63"/>
          </w:p>
        </w:tc>
        <w:tc>
          <w:tcPr>
            <w:tcW w:w="5822" w:type="dxa"/>
            <w:gridSpan w:val="4"/>
          </w:tcPr>
          <w:p w:rsidR="00191A23" w:rsidRDefault="00191A23" w:rsidP="00191A23">
            <w:pPr>
              <w:tabs>
                <w:tab w:val="left" w:pos="5400"/>
              </w:tabs>
              <w:rPr>
                <w:sz w:val="20"/>
              </w:rPr>
            </w:pPr>
          </w:p>
        </w:tc>
        <w:tc>
          <w:tcPr>
            <w:tcW w:w="2782" w:type="dxa"/>
            <w:gridSpan w:val="3"/>
          </w:tcPr>
          <w:p w:rsidR="00191A23" w:rsidRDefault="00191A23" w:rsidP="00191A23">
            <w:pPr>
              <w:tabs>
                <w:tab w:val="left" w:pos="5400"/>
              </w:tabs>
              <w:rPr>
                <w:sz w:val="20"/>
              </w:rPr>
            </w:pPr>
          </w:p>
        </w:tc>
      </w:tr>
      <w:tr w:rsidR="00FF28A8" w:rsidRPr="0022554A" w:rsidTr="00595C7B">
        <w:trPr>
          <w:gridAfter w:val="1"/>
          <w:wAfter w:w="577" w:type="dxa"/>
        </w:trPr>
        <w:tc>
          <w:tcPr>
            <w:tcW w:w="0" w:type="auto"/>
            <w:vMerge w:val="restart"/>
          </w:tcPr>
          <w:p w:rsidR="00191A23" w:rsidRPr="0022554A" w:rsidRDefault="00191A23" w:rsidP="00191A23">
            <w:pPr>
              <w:tabs>
                <w:tab w:val="left" w:pos="5400"/>
              </w:tabs>
              <w:rPr>
                <w:bCs/>
                <w:sz w:val="20"/>
              </w:rPr>
            </w:pPr>
            <w:bookmarkStart w:id="64" w:name="bold33"/>
            <w:bookmarkStart w:id="65" w:name="italic34"/>
            <w:bookmarkEnd w:id="61"/>
            <w:bookmarkEnd w:id="62"/>
            <w:r w:rsidRPr="0022554A">
              <w:rPr>
                <w:bCs/>
                <w:sz w:val="20"/>
              </w:rPr>
              <w:lastRenderedPageBreak/>
              <w:t xml:space="preserve">Descriptive </w:t>
            </w:r>
            <w:bookmarkStart w:id="66" w:name="bold34"/>
            <w:bookmarkStart w:id="67" w:name="italic35"/>
            <w:bookmarkEnd w:id="64"/>
            <w:bookmarkEnd w:id="65"/>
            <w:r w:rsidRPr="0022554A">
              <w:rPr>
                <w:bCs/>
                <w:sz w:val="20"/>
              </w:rPr>
              <w:t>data</w:t>
            </w:r>
            <w:bookmarkEnd w:id="66"/>
            <w:bookmarkEnd w:id="67"/>
          </w:p>
        </w:tc>
        <w:tc>
          <w:tcPr>
            <w:tcW w:w="0" w:type="auto"/>
            <w:vMerge w:val="restart"/>
          </w:tcPr>
          <w:p w:rsidR="00191A23" w:rsidRPr="0022554A" w:rsidRDefault="00191A23" w:rsidP="00191A23">
            <w:pPr>
              <w:tabs>
                <w:tab w:val="left" w:pos="5400"/>
              </w:tabs>
              <w:jc w:val="center"/>
              <w:rPr>
                <w:sz w:val="20"/>
              </w:rPr>
            </w:pPr>
            <w:r w:rsidRPr="0022554A">
              <w:rPr>
                <w:sz w:val="20"/>
              </w:rPr>
              <w:t>14</w:t>
            </w:r>
            <w:bookmarkStart w:id="68" w:name="bold35"/>
            <w:r w:rsidRPr="0022554A">
              <w:rPr>
                <w:bCs/>
                <w:sz w:val="20"/>
              </w:rPr>
              <w:t>*</w:t>
            </w:r>
            <w:bookmarkEnd w:id="68"/>
          </w:p>
        </w:tc>
        <w:tc>
          <w:tcPr>
            <w:tcW w:w="4237" w:type="dxa"/>
          </w:tcPr>
          <w:p w:rsidR="00191A23" w:rsidRPr="0022554A" w:rsidRDefault="00191A23" w:rsidP="00191A23">
            <w:pPr>
              <w:tabs>
                <w:tab w:val="left" w:pos="5400"/>
              </w:tabs>
              <w:rPr>
                <w:sz w:val="20"/>
              </w:rPr>
            </w:pPr>
            <w:r>
              <w:rPr>
                <w:sz w:val="20"/>
              </w:rPr>
              <w:t xml:space="preserve">(a) </w:t>
            </w:r>
            <w:r w:rsidRPr="0022554A">
              <w:rPr>
                <w:sz w:val="20"/>
              </w:rPr>
              <w:t>Give characteristics of study participants (eg demographic, clinical, social) and information on exposures and potential confounders</w:t>
            </w:r>
          </w:p>
        </w:tc>
        <w:tc>
          <w:tcPr>
            <w:tcW w:w="5822" w:type="dxa"/>
            <w:gridSpan w:val="4"/>
          </w:tcPr>
          <w:p w:rsidR="00595C7B" w:rsidRPr="00595C7B" w:rsidRDefault="00FF28A8" w:rsidP="00595C7B">
            <w:pPr>
              <w:autoSpaceDE w:val="0"/>
              <w:autoSpaceDN w:val="0"/>
              <w:adjustRightInd w:val="0"/>
              <w:spacing w:line="240" w:lineRule="auto"/>
              <w:rPr>
                <w:rFonts w:eastAsia="Calibri"/>
                <w:szCs w:val="24"/>
              </w:rPr>
            </w:pPr>
            <w:r>
              <w:rPr>
                <w:sz w:val="20"/>
              </w:rPr>
              <w:t>6</w:t>
            </w:r>
            <w:r w:rsidR="00595C7B">
              <w:rPr>
                <w:sz w:val="20"/>
              </w:rPr>
              <w:tab/>
            </w:r>
            <w:r w:rsidR="00595C7B" w:rsidRPr="00595C7B">
              <w:rPr>
                <w:rFonts w:eastAsia="Calibri"/>
                <w:szCs w:val="24"/>
              </w:rPr>
              <w:t>Of 311 eligible patients identified, 160 (51%) had evidence of osteonecrosis as per clinical records and radiography (Fig. 1). These included 72 patients studied in 2011 [12] when we had measured their hip function, physical function, and health status.</w:t>
            </w:r>
          </w:p>
          <w:p w:rsidR="00595C7B" w:rsidRPr="00595C7B" w:rsidRDefault="00595C7B" w:rsidP="00595C7B">
            <w:pPr>
              <w:autoSpaceDE w:val="0"/>
              <w:autoSpaceDN w:val="0"/>
              <w:adjustRightInd w:val="0"/>
              <w:spacing w:line="240" w:lineRule="auto"/>
              <w:rPr>
                <w:rFonts w:eastAsia="Calibri"/>
                <w:szCs w:val="24"/>
              </w:rPr>
            </w:pPr>
          </w:p>
          <w:p w:rsidR="00595C7B" w:rsidRPr="00595C7B" w:rsidRDefault="00595C7B" w:rsidP="00595C7B">
            <w:pPr>
              <w:autoSpaceDE w:val="0"/>
              <w:autoSpaceDN w:val="0"/>
              <w:adjustRightInd w:val="0"/>
              <w:spacing w:line="240" w:lineRule="auto"/>
              <w:ind w:right="-33"/>
              <w:rPr>
                <w:rFonts w:eastAsia="Calibri"/>
                <w:szCs w:val="24"/>
              </w:rPr>
            </w:pPr>
            <w:r w:rsidRPr="00595C7B">
              <w:rPr>
                <w:rFonts w:eastAsia="Calibri"/>
                <w:szCs w:val="24"/>
              </w:rPr>
              <w:t xml:space="preserve">Of 160 patients, 23 could not be recruited (Fig.1). In 18 of the remaining patients we could not ascertain the effects of the osteonecrosis on patient-reported outcomes as 16 had undergone hip arthroplasties and 2 had undergone hip arthrodesis. Thus, 117 patients (149 hips) with DDH and osteonecrosis at a mean age of 19.6 </w:t>
            </w:r>
            <w:r w:rsidRPr="00595C7B">
              <w:rPr>
                <w:rFonts w:eastAsia="Calibri"/>
                <w:szCs w:val="24"/>
              </w:rPr>
              <w:sym w:font="Symbol" w:char="F0B1"/>
            </w:r>
            <w:r w:rsidRPr="00595C7B">
              <w:rPr>
                <w:rFonts w:eastAsia="Calibri"/>
                <w:szCs w:val="24"/>
              </w:rPr>
              <w:t xml:space="preserve"> 3.8 years completed patient reported outcomes to measure the effects of osteonecrosis. These included 54/72 patients (75%) who had taken part in our earlier study [12] and who we could re-examine after a mean period (and standard deviation) of 8.4 </w:t>
            </w:r>
            <w:r w:rsidRPr="00595C7B">
              <w:rPr>
                <w:rFonts w:eastAsia="Calibri"/>
                <w:szCs w:val="24"/>
              </w:rPr>
              <w:sym w:font="Symbol" w:char="F0B1"/>
            </w:r>
            <w:r w:rsidRPr="00595C7B">
              <w:rPr>
                <w:rFonts w:eastAsia="Calibri"/>
                <w:szCs w:val="24"/>
              </w:rPr>
              <w:t xml:space="preserve"> 0.7 years or at a mean patient age (and standard deviation) of 21.9 ± 2.6 years (of the remaining patients, five had undergone total hip replacements; one patient lived abroad; one was pregnant; one had a mental health condition preventing participation; five could not be contacted; and five declined participation). From 151 patients with DDH but without osteonecrosis, we recruited an age-matched convenience sample of 32 patients (37 hips). In total, we studied 149 patients (186 hips) at a mean age (and standard deviation) of 19.6 ± 3.8 (range, 14 to 26) years.</w:t>
            </w:r>
          </w:p>
          <w:p w:rsidR="00595C7B" w:rsidRPr="00595C7B" w:rsidRDefault="00595C7B" w:rsidP="00595C7B">
            <w:pPr>
              <w:autoSpaceDE w:val="0"/>
              <w:autoSpaceDN w:val="0"/>
              <w:adjustRightInd w:val="0"/>
              <w:spacing w:line="240" w:lineRule="auto"/>
              <w:rPr>
                <w:rFonts w:eastAsia="Calibri"/>
                <w:szCs w:val="24"/>
              </w:rPr>
            </w:pPr>
            <w:r w:rsidRPr="00595C7B">
              <w:rPr>
                <w:rFonts w:eastAsia="Calibri"/>
                <w:szCs w:val="24"/>
              </w:rPr>
              <w:t>In those with and without osteonecrosis, 86</w:t>
            </w:r>
            <w:proofErr w:type="gramStart"/>
            <w:r w:rsidRPr="00595C7B">
              <w:rPr>
                <w:rFonts w:eastAsia="Calibri"/>
                <w:szCs w:val="24"/>
              </w:rPr>
              <w:t>%  and</w:t>
            </w:r>
            <w:proofErr w:type="gramEnd"/>
            <w:r w:rsidRPr="00595C7B">
              <w:rPr>
                <w:rFonts w:eastAsia="Calibri"/>
                <w:szCs w:val="24"/>
              </w:rPr>
              <w:t xml:space="preserve"> 97% of patients were female, respectively. This was not significant (p=0.18). In patients with osteonecrosis 36% of had undergone one operation, 36% two operations, and 28% three or more operations. This compared to 59%, 29% and 4% respectively, in patients without osteonecrosis. </w:t>
            </w:r>
          </w:p>
          <w:p w:rsidR="00191A23" w:rsidRDefault="00191A23" w:rsidP="00595C7B">
            <w:pPr>
              <w:tabs>
                <w:tab w:val="left" w:pos="1298"/>
              </w:tabs>
              <w:rPr>
                <w:sz w:val="20"/>
              </w:rPr>
            </w:pPr>
          </w:p>
        </w:tc>
        <w:tc>
          <w:tcPr>
            <w:tcW w:w="2782" w:type="dxa"/>
            <w:gridSpan w:val="3"/>
          </w:tcPr>
          <w:p w:rsidR="00FF28A8" w:rsidRDefault="00FF28A8" w:rsidP="00FF28A8">
            <w:pPr>
              <w:autoSpaceDE w:val="0"/>
              <w:autoSpaceDN w:val="0"/>
              <w:adjustRightInd w:val="0"/>
              <w:rPr>
                <w:szCs w:val="24"/>
              </w:rPr>
            </w:pPr>
            <w:r>
              <w:rPr>
                <w:szCs w:val="24"/>
              </w:rPr>
              <w:lastRenderedPageBreak/>
              <w:t xml:space="preserve"> </w:t>
            </w:r>
          </w:p>
          <w:p w:rsidR="00191A23" w:rsidRDefault="00191A23" w:rsidP="00191A23">
            <w:pPr>
              <w:tabs>
                <w:tab w:val="left" w:pos="5400"/>
              </w:tabs>
              <w:rPr>
                <w:sz w:val="20"/>
              </w:rPr>
            </w:pPr>
          </w:p>
        </w:tc>
      </w:tr>
      <w:tr w:rsidR="00FF28A8" w:rsidRPr="0022554A" w:rsidTr="00595C7B">
        <w:trPr>
          <w:gridAfter w:val="1"/>
          <w:wAfter w:w="577" w:type="dxa"/>
        </w:trPr>
        <w:tc>
          <w:tcPr>
            <w:tcW w:w="0" w:type="auto"/>
            <w:vMerge/>
          </w:tcPr>
          <w:p w:rsidR="00191A23" w:rsidRPr="0022554A" w:rsidRDefault="00191A23" w:rsidP="00191A23">
            <w:pPr>
              <w:tabs>
                <w:tab w:val="left" w:pos="5400"/>
              </w:tabs>
              <w:rPr>
                <w:bCs/>
                <w:sz w:val="20"/>
              </w:rPr>
            </w:pPr>
            <w:bookmarkStart w:id="69" w:name="bold36" w:colFirst="0" w:colLast="0"/>
            <w:bookmarkStart w:id="70" w:name="italic36" w:colFirst="0" w:colLast="0"/>
          </w:p>
        </w:tc>
        <w:tc>
          <w:tcPr>
            <w:tcW w:w="0" w:type="auto"/>
            <w:vMerge/>
          </w:tcPr>
          <w:p w:rsidR="00191A23" w:rsidRPr="0022554A" w:rsidRDefault="00191A23" w:rsidP="00191A23">
            <w:pPr>
              <w:tabs>
                <w:tab w:val="left" w:pos="5400"/>
              </w:tabs>
              <w:jc w:val="center"/>
              <w:rPr>
                <w:sz w:val="20"/>
              </w:rPr>
            </w:pPr>
          </w:p>
        </w:tc>
        <w:tc>
          <w:tcPr>
            <w:tcW w:w="4237" w:type="dxa"/>
          </w:tcPr>
          <w:p w:rsidR="00191A23" w:rsidRPr="0022554A" w:rsidRDefault="00191A23" w:rsidP="00191A23">
            <w:pPr>
              <w:tabs>
                <w:tab w:val="left" w:pos="5400"/>
              </w:tabs>
              <w:rPr>
                <w:sz w:val="20"/>
              </w:rPr>
            </w:pPr>
            <w:r>
              <w:rPr>
                <w:sz w:val="20"/>
              </w:rPr>
              <w:t xml:space="preserve">(b) </w:t>
            </w:r>
            <w:r w:rsidRPr="0022554A">
              <w:rPr>
                <w:sz w:val="20"/>
              </w:rPr>
              <w:t>Indicate number of participants with missing data for each variable of interest</w:t>
            </w:r>
          </w:p>
        </w:tc>
        <w:tc>
          <w:tcPr>
            <w:tcW w:w="5822" w:type="dxa"/>
            <w:gridSpan w:val="4"/>
          </w:tcPr>
          <w:p w:rsidR="00191A23" w:rsidRDefault="00191A23" w:rsidP="00191A23">
            <w:pPr>
              <w:tabs>
                <w:tab w:val="left" w:pos="5400"/>
              </w:tabs>
              <w:rPr>
                <w:sz w:val="20"/>
              </w:rPr>
            </w:pPr>
          </w:p>
        </w:tc>
        <w:tc>
          <w:tcPr>
            <w:tcW w:w="2782" w:type="dxa"/>
            <w:gridSpan w:val="3"/>
          </w:tcPr>
          <w:p w:rsidR="00191A23" w:rsidRDefault="00191A23" w:rsidP="00191A23">
            <w:pPr>
              <w:tabs>
                <w:tab w:val="left" w:pos="5400"/>
              </w:tabs>
              <w:rPr>
                <w:sz w:val="20"/>
              </w:rPr>
            </w:pPr>
          </w:p>
        </w:tc>
      </w:tr>
      <w:tr w:rsidR="00FF28A8" w:rsidRPr="0022554A" w:rsidTr="00595C7B">
        <w:trPr>
          <w:gridAfter w:val="1"/>
          <w:wAfter w:w="577" w:type="dxa"/>
        </w:trPr>
        <w:tc>
          <w:tcPr>
            <w:tcW w:w="0" w:type="auto"/>
            <w:vMerge/>
          </w:tcPr>
          <w:p w:rsidR="00191A23" w:rsidRPr="0022554A" w:rsidRDefault="00191A23" w:rsidP="00191A23">
            <w:pPr>
              <w:tabs>
                <w:tab w:val="left" w:pos="5400"/>
              </w:tabs>
              <w:rPr>
                <w:bCs/>
                <w:sz w:val="20"/>
              </w:rPr>
            </w:pPr>
            <w:bookmarkStart w:id="71" w:name="bold37" w:colFirst="0" w:colLast="0"/>
            <w:bookmarkStart w:id="72" w:name="italic37" w:colFirst="0" w:colLast="0"/>
            <w:bookmarkEnd w:id="69"/>
            <w:bookmarkEnd w:id="70"/>
          </w:p>
        </w:tc>
        <w:tc>
          <w:tcPr>
            <w:tcW w:w="0" w:type="auto"/>
            <w:vMerge/>
          </w:tcPr>
          <w:p w:rsidR="00191A23" w:rsidRPr="0022554A" w:rsidRDefault="00191A23" w:rsidP="00191A23">
            <w:pPr>
              <w:tabs>
                <w:tab w:val="left" w:pos="5400"/>
              </w:tabs>
              <w:jc w:val="center"/>
              <w:rPr>
                <w:sz w:val="20"/>
              </w:rPr>
            </w:pPr>
          </w:p>
        </w:tc>
        <w:tc>
          <w:tcPr>
            <w:tcW w:w="4237" w:type="dxa"/>
          </w:tcPr>
          <w:p w:rsidR="00191A23" w:rsidRPr="0022554A" w:rsidRDefault="00191A23" w:rsidP="00191A23">
            <w:pPr>
              <w:tabs>
                <w:tab w:val="left" w:pos="5400"/>
              </w:tabs>
              <w:rPr>
                <w:sz w:val="20"/>
              </w:rPr>
            </w:pPr>
            <w:r>
              <w:rPr>
                <w:sz w:val="20"/>
              </w:rPr>
              <w:t xml:space="preserve">(c) </w:t>
            </w:r>
            <w:r w:rsidRPr="0022554A">
              <w:rPr>
                <w:i/>
                <w:sz w:val="20"/>
              </w:rPr>
              <w:t>Cohort study</w:t>
            </w:r>
            <w:r w:rsidRPr="0022554A">
              <w:rPr>
                <w:sz w:val="20"/>
              </w:rPr>
              <w:t>—Summarise follow-up time (eg, average and total amount)</w:t>
            </w:r>
          </w:p>
        </w:tc>
        <w:tc>
          <w:tcPr>
            <w:tcW w:w="5822" w:type="dxa"/>
            <w:gridSpan w:val="4"/>
          </w:tcPr>
          <w:p w:rsidR="00191A23" w:rsidRDefault="00191A23" w:rsidP="00191A23">
            <w:pPr>
              <w:tabs>
                <w:tab w:val="left" w:pos="5400"/>
              </w:tabs>
              <w:rPr>
                <w:sz w:val="20"/>
              </w:rPr>
            </w:pPr>
          </w:p>
        </w:tc>
        <w:tc>
          <w:tcPr>
            <w:tcW w:w="2782" w:type="dxa"/>
            <w:gridSpan w:val="3"/>
          </w:tcPr>
          <w:p w:rsidR="00191A23" w:rsidRDefault="00191A23" w:rsidP="00191A23">
            <w:pPr>
              <w:tabs>
                <w:tab w:val="left" w:pos="5400"/>
              </w:tabs>
              <w:rPr>
                <w:sz w:val="20"/>
              </w:rPr>
            </w:pPr>
          </w:p>
        </w:tc>
      </w:tr>
      <w:tr w:rsidR="00FF28A8" w:rsidRPr="0022554A" w:rsidTr="00595C7B">
        <w:trPr>
          <w:gridAfter w:val="1"/>
          <w:wAfter w:w="577" w:type="dxa"/>
          <w:trHeight w:val="295"/>
        </w:trPr>
        <w:tc>
          <w:tcPr>
            <w:tcW w:w="0" w:type="auto"/>
            <w:vMerge w:val="restart"/>
          </w:tcPr>
          <w:p w:rsidR="00191A23" w:rsidRPr="0022554A" w:rsidRDefault="00191A23" w:rsidP="00191A23">
            <w:pPr>
              <w:tabs>
                <w:tab w:val="left" w:pos="5400"/>
              </w:tabs>
              <w:rPr>
                <w:bCs/>
                <w:sz w:val="20"/>
              </w:rPr>
            </w:pPr>
            <w:bookmarkStart w:id="73" w:name="bold38" w:colFirst="0" w:colLast="0"/>
            <w:bookmarkStart w:id="74" w:name="italic38" w:colFirst="0" w:colLast="0"/>
            <w:bookmarkEnd w:id="71"/>
            <w:bookmarkEnd w:id="72"/>
            <w:r w:rsidRPr="0022554A">
              <w:rPr>
                <w:bCs/>
                <w:sz w:val="20"/>
              </w:rPr>
              <w:t>Outcome data</w:t>
            </w:r>
          </w:p>
        </w:tc>
        <w:tc>
          <w:tcPr>
            <w:tcW w:w="0" w:type="auto"/>
            <w:vMerge w:val="restart"/>
          </w:tcPr>
          <w:p w:rsidR="00191A23" w:rsidRPr="0022554A" w:rsidRDefault="00191A23" w:rsidP="00191A23">
            <w:pPr>
              <w:tabs>
                <w:tab w:val="left" w:pos="5400"/>
              </w:tabs>
              <w:jc w:val="center"/>
              <w:rPr>
                <w:sz w:val="20"/>
              </w:rPr>
            </w:pPr>
            <w:r w:rsidRPr="0022554A">
              <w:rPr>
                <w:sz w:val="20"/>
              </w:rPr>
              <w:t>15</w:t>
            </w:r>
            <w:bookmarkStart w:id="75" w:name="bold39"/>
            <w:r w:rsidRPr="0022554A">
              <w:rPr>
                <w:bCs/>
                <w:sz w:val="20"/>
              </w:rPr>
              <w:t>*</w:t>
            </w:r>
            <w:bookmarkEnd w:id="75"/>
          </w:p>
        </w:tc>
        <w:tc>
          <w:tcPr>
            <w:tcW w:w="4237" w:type="dxa"/>
          </w:tcPr>
          <w:p w:rsidR="00191A23" w:rsidRPr="0022554A" w:rsidRDefault="00191A23" w:rsidP="00191A23">
            <w:pPr>
              <w:tabs>
                <w:tab w:val="left" w:pos="5400"/>
              </w:tabs>
              <w:rPr>
                <w:sz w:val="20"/>
              </w:rPr>
            </w:pPr>
            <w:r w:rsidRPr="0022554A">
              <w:rPr>
                <w:i/>
                <w:sz w:val="20"/>
              </w:rPr>
              <w:t>Cohort study</w:t>
            </w:r>
            <w:r w:rsidRPr="0022554A">
              <w:rPr>
                <w:sz w:val="20"/>
              </w:rPr>
              <w:t>—Report numbers of outcome events or summary measures over time</w:t>
            </w:r>
          </w:p>
        </w:tc>
        <w:tc>
          <w:tcPr>
            <w:tcW w:w="5822" w:type="dxa"/>
            <w:gridSpan w:val="4"/>
          </w:tcPr>
          <w:p w:rsidR="00191A23" w:rsidRPr="0022554A" w:rsidRDefault="00191A23" w:rsidP="00191A23">
            <w:pPr>
              <w:tabs>
                <w:tab w:val="left" w:pos="5400"/>
              </w:tabs>
              <w:rPr>
                <w:i/>
                <w:sz w:val="20"/>
              </w:rPr>
            </w:pPr>
          </w:p>
        </w:tc>
        <w:tc>
          <w:tcPr>
            <w:tcW w:w="2782" w:type="dxa"/>
            <w:gridSpan w:val="3"/>
          </w:tcPr>
          <w:p w:rsidR="00191A23" w:rsidRPr="0022554A" w:rsidRDefault="00191A23" w:rsidP="00191A23">
            <w:pPr>
              <w:tabs>
                <w:tab w:val="left" w:pos="5400"/>
              </w:tabs>
              <w:rPr>
                <w:i/>
                <w:sz w:val="20"/>
              </w:rPr>
            </w:pPr>
          </w:p>
        </w:tc>
      </w:tr>
      <w:tr w:rsidR="00FF28A8" w:rsidRPr="0022554A" w:rsidTr="00595C7B">
        <w:trPr>
          <w:gridAfter w:val="1"/>
          <w:wAfter w:w="577" w:type="dxa"/>
          <w:trHeight w:val="294"/>
        </w:trPr>
        <w:tc>
          <w:tcPr>
            <w:tcW w:w="0" w:type="auto"/>
            <w:vMerge/>
          </w:tcPr>
          <w:p w:rsidR="00191A23" w:rsidRPr="0022554A" w:rsidRDefault="00191A23" w:rsidP="00191A23">
            <w:pPr>
              <w:tabs>
                <w:tab w:val="left" w:pos="5400"/>
              </w:tabs>
              <w:rPr>
                <w:bCs/>
                <w:sz w:val="20"/>
              </w:rPr>
            </w:pPr>
          </w:p>
        </w:tc>
        <w:tc>
          <w:tcPr>
            <w:tcW w:w="0" w:type="auto"/>
            <w:vMerge/>
          </w:tcPr>
          <w:p w:rsidR="00191A23" w:rsidRPr="0022554A" w:rsidRDefault="00191A23" w:rsidP="00191A23">
            <w:pPr>
              <w:tabs>
                <w:tab w:val="left" w:pos="5400"/>
              </w:tabs>
              <w:jc w:val="center"/>
              <w:rPr>
                <w:sz w:val="20"/>
              </w:rPr>
            </w:pPr>
          </w:p>
        </w:tc>
        <w:tc>
          <w:tcPr>
            <w:tcW w:w="4237" w:type="dxa"/>
          </w:tcPr>
          <w:p w:rsidR="00191A23" w:rsidRPr="0022554A" w:rsidRDefault="00191A23" w:rsidP="00191A23">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5822" w:type="dxa"/>
            <w:gridSpan w:val="4"/>
          </w:tcPr>
          <w:p w:rsidR="00191A23" w:rsidRPr="0022554A" w:rsidRDefault="00191A23" w:rsidP="00191A23">
            <w:pPr>
              <w:tabs>
                <w:tab w:val="left" w:pos="5400"/>
              </w:tabs>
              <w:rPr>
                <w:i/>
                <w:sz w:val="20"/>
              </w:rPr>
            </w:pPr>
          </w:p>
        </w:tc>
        <w:tc>
          <w:tcPr>
            <w:tcW w:w="2782" w:type="dxa"/>
            <w:gridSpan w:val="3"/>
          </w:tcPr>
          <w:p w:rsidR="00191A23" w:rsidRPr="0022554A" w:rsidRDefault="00191A23" w:rsidP="00191A23">
            <w:pPr>
              <w:tabs>
                <w:tab w:val="left" w:pos="5400"/>
              </w:tabs>
              <w:rPr>
                <w:i/>
                <w:sz w:val="20"/>
              </w:rPr>
            </w:pPr>
          </w:p>
        </w:tc>
      </w:tr>
      <w:tr w:rsidR="00FF28A8" w:rsidRPr="0022554A" w:rsidTr="00595C7B">
        <w:trPr>
          <w:gridAfter w:val="1"/>
          <w:wAfter w:w="577" w:type="dxa"/>
          <w:trHeight w:val="294"/>
        </w:trPr>
        <w:tc>
          <w:tcPr>
            <w:tcW w:w="0" w:type="auto"/>
            <w:vMerge/>
          </w:tcPr>
          <w:p w:rsidR="00191A23" w:rsidRPr="0022554A" w:rsidRDefault="00191A23" w:rsidP="00191A23">
            <w:pPr>
              <w:tabs>
                <w:tab w:val="left" w:pos="5400"/>
              </w:tabs>
              <w:rPr>
                <w:bCs/>
                <w:sz w:val="20"/>
              </w:rPr>
            </w:pPr>
          </w:p>
        </w:tc>
        <w:tc>
          <w:tcPr>
            <w:tcW w:w="0" w:type="auto"/>
            <w:vMerge/>
          </w:tcPr>
          <w:p w:rsidR="00191A23" w:rsidRPr="0022554A" w:rsidRDefault="00191A23" w:rsidP="00191A23">
            <w:pPr>
              <w:tabs>
                <w:tab w:val="left" w:pos="5400"/>
              </w:tabs>
              <w:jc w:val="center"/>
              <w:rPr>
                <w:sz w:val="20"/>
              </w:rPr>
            </w:pPr>
          </w:p>
        </w:tc>
        <w:tc>
          <w:tcPr>
            <w:tcW w:w="4237" w:type="dxa"/>
          </w:tcPr>
          <w:p w:rsidR="00191A23" w:rsidRPr="0022554A" w:rsidRDefault="00191A23" w:rsidP="00191A23">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5822" w:type="dxa"/>
            <w:gridSpan w:val="4"/>
          </w:tcPr>
          <w:p w:rsidR="00191A23" w:rsidRDefault="00595C7B" w:rsidP="00191A23">
            <w:pPr>
              <w:tabs>
                <w:tab w:val="left" w:pos="5400"/>
              </w:tabs>
              <w:rPr>
                <w:i/>
                <w:sz w:val="20"/>
              </w:rPr>
            </w:pPr>
            <w:r>
              <w:rPr>
                <w:i/>
                <w:sz w:val="20"/>
              </w:rPr>
              <w:t>10</w:t>
            </w:r>
          </w:p>
        </w:tc>
        <w:tc>
          <w:tcPr>
            <w:tcW w:w="2782" w:type="dxa"/>
            <w:gridSpan w:val="3"/>
          </w:tcPr>
          <w:p w:rsidR="00191A23" w:rsidRDefault="00191A23" w:rsidP="00191A23">
            <w:pPr>
              <w:tabs>
                <w:tab w:val="left" w:pos="5400"/>
              </w:tabs>
              <w:rPr>
                <w:i/>
                <w:sz w:val="20"/>
              </w:rPr>
            </w:pPr>
          </w:p>
        </w:tc>
      </w:tr>
      <w:tr w:rsidR="00FF28A8" w:rsidRPr="0022554A" w:rsidTr="00595C7B">
        <w:trPr>
          <w:gridAfter w:val="1"/>
          <w:wAfter w:w="577" w:type="dxa"/>
        </w:trPr>
        <w:tc>
          <w:tcPr>
            <w:tcW w:w="0" w:type="auto"/>
            <w:vMerge w:val="restart"/>
          </w:tcPr>
          <w:p w:rsidR="00191A23" w:rsidRPr="0022554A" w:rsidRDefault="00191A23" w:rsidP="00191A23">
            <w:pPr>
              <w:tabs>
                <w:tab w:val="left" w:pos="5400"/>
              </w:tabs>
              <w:rPr>
                <w:bCs/>
                <w:sz w:val="20"/>
              </w:rPr>
            </w:pPr>
            <w:bookmarkStart w:id="76" w:name="italic40" w:colFirst="0" w:colLast="0"/>
            <w:bookmarkStart w:id="77" w:name="bold41" w:colFirst="0" w:colLast="0"/>
            <w:bookmarkEnd w:id="73"/>
            <w:bookmarkEnd w:id="74"/>
            <w:r w:rsidRPr="0022554A">
              <w:rPr>
                <w:bCs/>
                <w:sz w:val="20"/>
              </w:rPr>
              <w:t>Main results</w:t>
            </w:r>
          </w:p>
        </w:tc>
        <w:tc>
          <w:tcPr>
            <w:tcW w:w="0" w:type="auto"/>
            <w:vMerge w:val="restart"/>
          </w:tcPr>
          <w:p w:rsidR="00191A23" w:rsidRPr="0022554A" w:rsidRDefault="00191A23" w:rsidP="00191A23">
            <w:pPr>
              <w:tabs>
                <w:tab w:val="left" w:pos="5400"/>
              </w:tabs>
              <w:jc w:val="center"/>
              <w:rPr>
                <w:sz w:val="20"/>
              </w:rPr>
            </w:pPr>
            <w:r w:rsidRPr="0022554A">
              <w:rPr>
                <w:sz w:val="20"/>
              </w:rPr>
              <w:t>16</w:t>
            </w:r>
          </w:p>
        </w:tc>
        <w:tc>
          <w:tcPr>
            <w:tcW w:w="4237" w:type="dxa"/>
          </w:tcPr>
          <w:p w:rsidR="00191A23" w:rsidRPr="00FF28A8" w:rsidRDefault="00191A23" w:rsidP="00FF28A8">
            <w:pPr>
              <w:pStyle w:val="ListParagraph"/>
              <w:numPr>
                <w:ilvl w:val="0"/>
                <w:numId w:val="23"/>
              </w:numPr>
              <w:tabs>
                <w:tab w:val="left" w:pos="5400"/>
              </w:tabs>
              <w:rPr>
                <w:sz w:val="20"/>
              </w:rPr>
            </w:pPr>
            <w:r w:rsidRPr="00FF28A8">
              <w:rPr>
                <w:sz w:val="20"/>
              </w:rPr>
              <w:t>Give unadjusted estimates and, if applicable, confounder-adjusted estimates and their precision (eg, 95% confidence interval). Make clear which confounders were adjusted for and why they were included</w:t>
            </w:r>
          </w:p>
          <w:p w:rsidR="00FF28A8" w:rsidRPr="00FF28A8" w:rsidRDefault="00FF28A8" w:rsidP="00E665C2">
            <w:pPr>
              <w:tabs>
                <w:tab w:val="left" w:pos="5400"/>
              </w:tabs>
              <w:rPr>
                <w:sz w:val="20"/>
              </w:rPr>
            </w:pPr>
          </w:p>
        </w:tc>
        <w:tc>
          <w:tcPr>
            <w:tcW w:w="5822" w:type="dxa"/>
            <w:gridSpan w:val="4"/>
          </w:tcPr>
          <w:p w:rsidR="00E665C2" w:rsidRPr="005422CA" w:rsidRDefault="005B7C91" w:rsidP="005B7C91">
            <w:pPr>
              <w:tabs>
                <w:tab w:val="left" w:pos="425"/>
              </w:tabs>
              <w:autoSpaceDE w:val="0"/>
              <w:autoSpaceDN w:val="0"/>
              <w:adjustRightInd w:val="0"/>
              <w:spacing w:line="240" w:lineRule="auto"/>
              <w:ind w:left="1320" w:hanging="425"/>
              <w:rPr>
                <w:szCs w:val="24"/>
              </w:rPr>
            </w:pPr>
            <w:proofErr w:type="gramStart"/>
            <w:r>
              <w:rPr>
                <w:szCs w:val="24"/>
              </w:rPr>
              <w:t xml:space="preserve">10  </w:t>
            </w:r>
            <w:r w:rsidR="00E665C2" w:rsidRPr="005422CA">
              <w:rPr>
                <w:szCs w:val="24"/>
              </w:rPr>
              <w:t>In</w:t>
            </w:r>
            <w:proofErr w:type="gramEnd"/>
            <w:r w:rsidR="00E665C2" w:rsidRPr="005422CA">
              <w:rPr>
                <w:szCs w:val="24"/>
              </w:rPr>
              <w:t xml:space="preserve"> patients with osteonecrosis, the median hip function summary score was 80 (interquartile range, 70 to 90); the median physical function score was 91 (interquartile range, 80 to 100); and the median health status score was 0.95 (interquartile range, 0.80, 0.97) These scores did not differ (p&gt;0.05) from patients without osteonecrosis (Fig. 2). </w:t>
            </w:r>
          </w:p>
          <w:p w:rsidR="00E665C2" w:rsidRPr="005422CA" w:rsidRDefault="00E665C2" w:rsidP="005B7C91">
            <w:pPr>
              <w:autoSpaceDE w:val="0"/>
              <w:autoSpaceDN w:val="0"/>
              <w:adjustRightInd w:val="0"/>
              <w:spacing w:line="240" w:lineRule="auto"/>
              <w:ind w:left="1320"/>
              <w:rPr>
                <w:szCs w:val="24"/>
              </w:rPr>
            </w:pPr>
            <w:r w:rsidRPr="005422CA">
              <w:rPr>
                <w:szCs w:val="24"/>
              </w:rPr>
              <w:t xml:space="preserve">The adjusted mean differences in hip function, physical function and health status scores in patients with and without osteonecrosis were -4.7 (95% confidence interval, -10.3 to 0.8);  </w:t>
            </w:r>
          </w:p>
          <w:p w:rsidR="00191A23" w:rsidRPr="0022554A" w:rsidRDefault="00E665C2" w:rsidP="005B7C91">
            <w:pPr>
              <w:tabs>
                <w:tab w:val="left" w:pos="5400"/>
              </w:tabs>
              <w:spacing w:line="240" w:lineRule="auto"/>
              <w:ind w:left="1320"/>
              <w:rPr>
                <w:sz w:val="20"/>
              </w:rPr>
            </w:pPr>
            <w:r w:rsidRPr="005422CA">
              <w:rPr>
                <w:szCs w:val="24"/>
              </w:rPr>
              <w:t>-1.03 (95% confidence interval, -9.3 to 7.2); and 0.10 (95% confidence interval -1.1 to 1.2), respectively.</w:t>
            </w:r>
          </w:p>
        </w:tc>
        <w:tc>
          <w:tcPr>
            <w:tcW w:w="2782" w:type="dxa"/>
            <w:gridSpan w:val="3"/>
          </w:tcPr>
          <w:p w:rsidR="00191A23" w:rsidRPr="0022554A" w:rsidRDefault="00191A23" w:rsidP="00191A23">
            <w:pPr>
              <w:tabs>
                <w:tab w:val="left" w:pos="5400"/>
              </w:tabs>
              <w:rPr>
                <w:sz w:val="20"/>
              </w:rPr>
            </w:pPr>
          </w:p>
        </w:tc>
      </w:tr>
      <w:tr w:rsidR="00FF28A8" w:rsidRPr="0022554A" w:rsidTr="00595C7B">
        <w:trPr>
          <w:gridAfter w:val="1"/>
          <w:wAfter w:w="577" w:type="dxa"/>
        </w:trPr>
        <w:tc>
          <w:tcPr>
            <w:tcW w:w="0" w:type="auto"/>
            <w:vMerge/>
          </w:tcPr>
          <w:p w:rsidR="00191A23" w:rsidRPr="0022554A" w:rsidRDefault="00191A23" w:rsidP="00191A23">
            <w:pPr>
              <w:tabs>
                <w:tab w:val="left" w:pos="5400"/>
              </w:tabs>
              <w:rPr>
                <w:bCs/>
                <w:sz w:val="20"/>
              </w:rPr>
            </w:pPr>
            <w:bookmarkStart w:id="78" w:name="italic41" w:colFirst="0" w:colLast="0"/>
            <w:bookmarkStart w:id="79" w:name="bold42" w:colFirst="0" w:colLast="0"/>
            <w:bookmarkEnd w:id="76"/>
            <w:bookmarkEnd w:id="77"/>
          </w:p>
        </w:tc>
        <w:tc>
          <w:tcPr>
            <w:tcW w:w="0" w:type="auto"/>
            <w:vMerge/>
          </w:tcPr>
          <w:p w:rsidR="00191A23" w:rsidRPr="0022554A" w:rsidRDefault="00191A23" w:rsidP="00191A23">
            <w:pPr>
              <w:tabs>
                <w:tab w:val="left" w:pos="5400"/>
              </w:tabs>
              <w:jc w:val="center"/>
              <w:rPr>
                <w:sz w:val="20"/>
              </w:rPr>
            </w:pPr>
          </w:p>
        </w:tc>
        <w:tc>
          <w:tcPr>
            <w:tcW w:w="4237" w:type="dxa"/>
          </w:tcPr>
          <w:p w:rsidR="00191A23" w:rsidRPr="006149D3" w:rsidRDefault="00191A23" w:rsidP="00191A23">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5822" w:type="dxa"/>
            <w:gridSpan w:val="4"/>
          </w:tcPr>
          <w:p w:rsidR="00191A23" w:rsidRPr="0022554A" w:rsidRDefault="00191A23" w:rsidP="00191A23">
            <w:pPr>
              <w:tabs>
                <w:tab w:val="left" w:pos="5400"/>
              </w:tabs>
              <w:rPr>
                <w:sz w:val="20"/>
              </w:rPr>
            </w:pPr>
          </w:p>
        </w:tc>
        <w:tc>
          <w:tcPr>
            <w:tcW w:w="2782" w:type="dxa"/>
            <w:gridSpan w:val="3"/>
          </w:tcPr>
          <w:p w:rsidR="00191A23" w:rsidRPr="0022554A" w:rsidRDefault="00191A23" w:rsidP="00191A23">
            <w:pPr>
              <w:tabs>
                <w:tab w:val="left" w:pos="5400"/>
              </w:tabs>
              <w:rPr>
                <w:sz w:val="20"/>
              </w:rPr>
            </w:pPr>
          </w:p>
        </w:tc>
      </w:tr>
      <w:tr w:rsidR="00FF28A8" w:rsidRPr="0022554A" w:rsidTr="00595C7B">
        <w:trPr>
          <w:gridAfter w:val="1"/>
          <w:wAfter w:w="577" w:type="dxa"/>
        </w:trPr>
        <w:tc>
          <w:tcPr>
            <w:tcW w:w="0" w:type="auto"/>
            <w:vMerge/>
          </w:tcPr>
          <w:p w:rsidR="00191A23" w:rsidRPr="0022554A" w:rsidRDefault="00191A23" w:rsidP="00191A23">
            <w:pPr>
              <w:tabs>
                <w:tab w:val="left" w:pos="5400"/>
              </w:tabs>
              <w:rPr>
                <w:bCs/>
                <w:sz w:val="20"/>
              </w:rPr>
            </w:pPr>
            <w:bookmarkStart w:id="80" w:name="italic42" w:colFirst="0" w:colLast="0"/>
            <w:bookmarkStart w:id="81" w:name="bold43" w:colFirst="0" w:colLast="0"/>
            <w:bookmarkEnd w:id="78"/>
            <w:bookmarkEnd w:id="79"/>
          </w:p>
        </w:tc>
        <w:tc>
          <w:tcPr>
            <w:tcW w:w="0" w:type="auto"/>
            <w:vMerge/>
          </w:tcPr>
          <w:p w:rsidR="00191A23" w:rsidRPr="0022554A" w:rsidRDefault="00191A23" w:rsidP="00191A23">
            <w:pPr>
              <w:tabs>
                <w:tab w:val="left" w:pos="5400"/>
              </w:tabs>
              <w:jc w:val="center"/>
              <w:rPr>
                <w:sz w:val="20"/>
              </w:rPr>
            </w:pPr>
          </w:p>
        </w:tc>
        <w:tc>
          <w:tcPr>
            <w:tcW w:w="4237" w:type="dxa"/>
          </w:tcPr>
          <w:p w:rsidR="00191A23" w:rsidRPr="006149D3" w:rsidRDefault="00191A23" w:rsidP="00191A23">
            <w:pPr>
              <w:tabs>
                <w:tab w:val="left" w:pos="5400"/>
              </w:tabs>
              <w:rPr>
                <w:sz w:val="20"/>
              </w:rPr>
            </w:pPr>
            <w:r w:rsidRPr="0022554A">
              <w:rPr>
                <w:sz w:val="20"/>
              </w:rPr>
              <w:t>(</w:t>
            </w:r>
            <w:r w:rsidRPr="0022554A">
              <w:rPr>
                <w:i/>
                <w:sz w:val="20"/>
              </w:rPr>
              <w:t>c</w:t>
            </w:r>
            <w:r w:rsidRPr="0022554A">
              <w:rPr>
                <w:sz w:val="20"/>
              </w:rPr>
              <w:t xml:space="preserve">) </w:t>
            </w:r>
            <w:r w:rsidRPr="006149D3">
              <w:rPr>
                <w:sz w:val="20"/>
              </w:rPr>
              <w:t xml:space="preserve">If relevant, consider translating estimates of relative risk into absolute risk for a meaningful </w:t>
            </w:r>
            <w:r w:rsidRPr="006149D3">
              <w:rPr>
                <w:sz w:val="20"/>
              </w:rPr>
              <w:lastRenderedPageBreak/>
              <w:t>time period</w:t>
            </w:r>
          </w:p>
        </w:tc>
        <w:tc>
          <w:tcPr>
            <w:tcW w:w="5822" w:type="dxa"/>
            <w:gridSpan w:val="4"/>
          </w:tcPr>
          <w:p w:rsidR="00191A23" w:rsidRPr="0022554A" w:rsidRDefault="00191A23" w:rsidP="00191A23">
            <w:pPr>
              <w:tabs>
                <w:tab w:val="left" w:pos="5400"/>
              </w:tabs>
              <w:rPr>
                <w:sz w:val="20"/>
              </w:rPr>
            </w:pPr>
          </w:p>
        </w:tc>
        <w:tc>
          <w:tcPr>
            <w:tcW w:w="2782" w:type="dxa"/>
            <w:gridSpan w:val="3"/>
          </w:tcPr>
          <w:p w:rsidR="00191A23" w:rsidRPr="0022554A" w:rsidRDefault="00191A23" w:rsidP="00191A23">
            <w:pPr>
              <w:tabs>
                <w:tab w:val="left" w:pos="5400"/>
              </w:tabs>
              <w:rPr>
                <w:sz w:val="20"/>
              </w:rPr>
            </w:pPr>
          </w:p>
        </w:tc>
      </w:tr>
    </w:tbl>
    <w:p w:rsidR="00191A23" w:rsidRDefault="00191A23">
      <w:bookmarkStart w:id="82" w:name="italic43"/>
      <w:bookmarkStart w:id="83" w:name="bold44"/>
      <w:bookmarkEnd w:id="80"/>
      <w:bookmarkEnd w:id="81"/>
      <w:r w:rsidRPr="004A32C8">
        <w:rPr>
          <w:sz w:val="16"/>
          <w:szCs w:val="16"/>
        </w:rPr>
        <w:t>Continued on next page</w:t>
      </w:r>
      <w:r>
        <w:t xml:space="preserve"> </w:t>
      </w:r>
      <w:r>
        <w:br w:type="page"/>
      </w:r>
    </w:p>
    <w:tbl>
      <w:tblPr>
        <w:tblW w:w="11874" w:type="dxa"/>
        <w:tblBorders>
          <w:top w:val="single" w:sz="4" w:space="0" w:color="auto"/>
          <w:bottom w:val="single" w:sz="4" w:space="0" w:color="auto"/>
          <w:insideH w:val="single" w:sz="4" w:space="0" w:color="auto"/>
        </w:tblBorders>
        <w:tblLook w:val="0000" w:firstRow="0" w:lastRow="0" w:firstColumn="0" w:lastColumn="0" w:noHBand="0" w:noVBand="0"/>
      </w:tblPr>
      <w:tblGrid>
        <w:gridCol w:w="1495"/>
        <w:gridCol w:w="416"/>
        <w:gridCol w:w="5427"/>
        <w:gridCol w:w="567"/>
        <w:gridCol w:w="3969"/>
      </w:tblGrid>
      <w:tr w:rsidR="00191A23" w:rsidRPr="0022554A" w:rsidTr="00E665C2">
        <w:tc>
          <w:tcPr>
            <w:tcW w:w="0" w:type="auto"/>
          </w:tcPr>
          <w:p w:rsidR="00191A23" w:rsidRPr="0022554A" w:rsidRDefault="00191A23" w:rsidP="00191A23">
            <w:pPr>
              <w:tabs>
                <w:tab w:val="left" w:pos="5400"/>
              </w:tabs>
              <w:rPr>
                <w:bCs/>
                <w:sz w:val="20"/>
              </w:rPr>
            </w:pPr>
            <w:r w:rsidRPr="0022554A">
              <w:rPr>
                <w:bCs/>
                <w:sz w:val="20"/>
              </w:rPr>
              <w:lastRenderedPageBreak/>
              <w:t>Other analyses</w:t>
            </w:r>
            <w:bookmarkEnd w:id="82"/>
            <w:bookmarkEnd w:id="83"/>
          </w:p>
        </w:tc>
        <w:tc>
          <w:tcPr>
            <w:tcW w:w="0" w:type="auto"/>
          </w:tcPr>
          <w:p w:rsidR="00191A23" w:rsidRPr="0022554A" w:rsidRDefault="00191A23" w:rsidP="00191A23">
            <w:pPr>
              <w:tabs>
                <w:tab w:val="left" w:pos="5400"/>
              </w:tabs>
              <w:jc w:val="center"/>
              <w:rPr>
                <w:sz w:val="20"/>
              </w:rPr>
            </w:pPr>
            <w:r w:rsidRPr="0022554A">
              <w:rPr>
                <w:sz w:val="20"/>
              </w:rPr>
              <w:t>17</w:t>
            </w:r>
          </w:p>
        </w:tc>
        <w:tc>
          <w:tcPr>
            <w:tcW w:w="5427" w:type="dxa"/>
          </w:tcPr>
          <w:p w:rsidR="00191A23" w:rsidRDefault="00191A23" w:rsidP="00191A23">
            <w:pPr>
              <w:tabs>
                <w:tab w:val="left" w:pos="5400"/>
              </w:tabs>
              <w:rPr>
                <w:sz w:val="20"/>
              </w:rPr>
            </w:pPr>
            <w:r w:rsidRPr="0022554A">
              <w:rPr>
                <w:sz w:val="20"/>
              </w:rPr>
              <w:t>Report other analyses done—eg analyses of subgroups and interactions, and sensitivity analyses</w:t>
            </w:r>
          </w:p>
          <w:p w:rsidR="00FF28A8" w:rsidRDefault="00FF28A8" w:rsidP="00FF28A8">
            <w:pPr>
              <w:spacing w:line="480" w:lineRule="auto"/>
              <w:rPr>
                <w:szCs w:val="24"/>
              </w:rPr>
            </w:pPr>
          </w:p>
          <w:p w:rsidR="00FF28A8" w:rsidRPr="0022554A" w:rsidRDefault="00FF28A8" w:rsidP="00FF28A8">
            <w:pPr>
              <w:tabs>
                <w:tab w:val="left" w:pos="5400"/>
              </w:tabs>
              <w:rPr>
                <w:sz w:val="20"/>
              </w:rPr>
            </w:pPr>
          </w:p>
        </w:tc>
        <w:tc>
          <w:tcPr>
            <w:tcW w:w="567" w:type="dxa"/>
          </w:tcPr>
          <w:p w:rsidR="00191A23" w:rsidRPr="0022554A" w:rsidRDefault="00E665C2" w:rsidP="00191A23">
            <w:pPr>
              <w:tabs>
                <w:tab w:val="left" w:pos="5400"/>
              </w:tabs>
              <w:rPr>
                <w:sz w:val="20"/>
              </w:rPr>
            </w:pPr>
            <w:r>
              <w:rPr>
                <w:sz w:val="20"/>
              </w:rPr>
              <w:t>11</w:t>
            </w:r>
          </w:p>
        </w:tc>
        <w:tc>
          <w:tcPr>
            <w:tcW w:w="3969" w:type="dxa"/>
          </w:tcPr>
          <w:p w:rsidR="00191A23" w:rsidRPr="0022554A" w:rsidRDefault="00E665C2" w:rsidP="00E665C2">
            <w:pPr>
              <w:tabs>
                <w:tab w:val="left" w:pos="5400"/>
              </w:tabs>
              <w:ind w:right="-108"/>
              <w:rPr>
                <w:sz w:val="20"/>
              </w:rPr>
            </w:pPr>
            <w:r w:rsidRPr="005422CA">
              <w:rPr>
                <w:szCs w:val="24"/>
              </w:rPr>
              <w:t xml:space="preserve">In 54/72 patients (75%) with longitudinal data for outcome scores available, the mean </w:t>
            </w:r>
            <w:r>
              <w:rPr>
                <w:szCs w:val="24"/>
              </w:rPr>
              <w:t xml:space="preserve">within patient </w:t>
            </w:r>
            <w:r w:rsidRPr="005422CA">
              <w:rPr>
                <w:szCs w:val="24"/>
              </w:rPr>
              <w:t>changes in hip function, physical function and health status from baseline to current assessment were 7.18 (95% confidence interval, -2.11 to 12.26), -2.11 (95% confidence interval, -15.47 to 11.25), and -0.03 (95% confidence interval, -0.11 to 0.05), respectively.</w:t>
            </w:r>
          </w:p>
        </w:tc>
      </w:tr>
      <w:tr w:rsidR="00976EE1" w:rsidRPr="0022554A" w:rsidTr="00E665C2">
        <w:tc>
          <w:tcPr>
            <w:tcW w:w="11874" w:type="dxa"/>
            <w:gridSpan w:val="5"/>
          </w:tcPr>
          <w:p w:rsidR="00976EE1" w:rsidRPr="0022554A" w:rsidRDefault="00976EE1" w:rsidP="00191A23">
            <w:pPr>
              <w:pStyle w:val="TableSubHead"/>
              <w:tabs>
                <w:tab w:val="left" w:pos="5400"/>
              </w:tabs>
              <w:rPr>
                <w:sz w:val="20"/>
              </w:rPr>
            </w:pPr>
            <w:bookmarkStart w:id="84" w:name="italic44"/>
            <w:bookmarkStart w:id="85" w:name="bold45"/>
            <w:r w:rsidRPr="0022554A">
              <w:rPr>
                <w:sz w:val="20"/>
              </w:rPr>
              <w:t>Discussion</w:t>
            </w:r>
            <w:bookmarkEnd w:id="84"/>
            <w:bookmarkEnd w:id="85"/>
          </w:p>
        </w:tc>
      </w:tr>
      <w:tr w:rsidR="00191A23" w:rsidRPr="0022554A" w:rsidTr="00E665C2">
        <w:tc>
          <w:tcPr>
            <w:tcW w:w="0" w:type="auto"/>
          </w:tcPr>
          <w:p w:rsidR="00191A23" w:rsidRPr="0022554A" w:rsidRDefault="00191A23" w:rsidP="00191A23">
            <w:pPr>
              <w:tabs>
                <w:tab w:val="left" w:pos="5400"/>
              </w:tabs>
              <w:rPr>
                <w:bCs/>
                <w:sz w:val="20"/>
              </w:rPr>
            </w:pPr>
            <w:bookmarkStart w:id="86" w:name="italic45" w:colFirst="0" w:colLast="0"/>
            <w:bookmarkStart w:id="87" w:name="bold46" w:colFirst="0" w:colLast="0"/>
            <w:r w:rsidRPr="0022554A">
              <w:rPr>
                <w:bCs/>
                <w:sz w:val="20"/>
              </w:rPr>
              <w:t>Key results</w:t>
            </w:r>
          </w:p>
        </w:tc>
        <w:tc>
          <w:tcPr>
            <w:tcW w:w="0" w:type="auto"/>
          </w:tcPr>
          <w:p w:rsidR="00191A23" w:rsidRPr="0022554A" w:rsidRDefault="00191A23" w:rsidP="00191A23">
            <w:pPr>
              <w:tabs>
                <w:tab w:val="left" w:pos="5400"/>
              </w:tabs>
              <w:jc w:val="center"/>
              <w:rPr>
                <w:sz w:val="20"/>
              </w:rPr>
            </w:pPr>
            <w:r w:rsidRPr="0022554A">
              <w:rPr>
                <w:sz w:val="20"/>
              </w:rPr>
              <w:t>18</w:t>
            </w:r>
          </w:p>
        </w:tc>
        <w:tc>
          <w:tcPr>
            <w:tcW w:w="5427" w:type="dxa"/>
          </w:tcPr>
          <w:p w:rsidR="00FF28A8" w:rsidRPr="0022554A" w:rsidRDefault="00191A23" w:rsidP="00E665C2">
            <w:pPr>
              <w:tabs>
                <w:tab w:val="left" w:pos="5400"/>
              </w:tabs>
              <w:rPr>
                <w:sz w:val="20"/>
              </w:rPr>
            </w:pPr>
            <w:r w:rsidRPr="0022554A">
              <w:rPr>
                <w:sz w:val="20"/>
              </w:rPr>
              <w:t>Summarise key results with reference to study objectiv</w:t>
            </w:r>
            <w:r w:rsidR="00E665C2">
              <w:rPr>
                <w:sz w:val="20"/>
              </w:rPr>
              <w:t>es</w:t>
            </w:r>
          </w:p>
        </w:tc>
        <w:tc>
          <w:tcPr>
            <w:tcW w:w="567" w:type="dxa"/>
          </w:tcPr>
          <w:p w:rsidR="00191A23" w:rsidRPr="0022554A" w:rsidRDefault="00E665C2" w:rsidP="00191A23">
            <w:pPr>
              <w:tabs>
                <w:tab w:val="left" w:pos="5400"/>
              </w:tabs>
              <w:rPr>
                <w:sz w:val="20"/>
              </w:rPr>
            </w:pPr>
            <w:r>
              <w:rPr>
                <w:sz w:val="20"/>
              </w:rPr>
              <w:t>13</w:t>
            </w:r>
          </w:p>
        </w:tc>
        <w:tc>
          <w:tcPr>
            <w:tcW w:w="3969" w:type="dxa"/>
          </w:tcPr>
          <w:p w:rsidR="00191A23" w:rsidRDefault="00E665C2" w:rsidP="00191A23">
            <w:pPr>
              <w:tabs>
                <w:tab w:val="left" w:pos="5400"/>
              </w:tabs>
              <w:rPr>
                <w:rStyle w:val="fulltext-it"/>
                <w:szCs w:val="24"/>
              </w:rPr>
            </w:pPr>
            <w:r w:rsidRPr="005422CA">
              <w:rPr>
                <w:rStyle w:val="fulltext-it"/>
                <w:szCs w:val="24"/>
              </w:rPr>
              <w:t>This study confirmed that, at a mean age of 21 years, it ranged from 86/100 points to 77/100 points. Aguilar et al.</w:t>
            </w:r>
            <w:r>
              <w:rPr>
                <w:rStyle w:val="fulltext-it"/>
                <w:szCs w:val="24"/>
              </w:rPr>
              <w:t xml:space="preserve"> [35]</w:t>
            </w:r>
            <w:r w:rsidRPr="005422CA">
              <w:rPr>
                <w:rStyle w:val="fulltext-it"/>
                <w:szCs w:val="24"/>
              </w:rPr>
              <w:t xml:space="preserve">, using the CHOHES, found a mean score of 88/100 points in children without any hip problems. This would </w:t>
            </w:r>
            <w:r>
              <w:rPr>
                <w:rStyle w:val="fulltext-it"/>
                <w:szCs w:val="24"/>
              </w:rPr>
              <w:t>indicate</w:t>
            </w:r>
            <w:r w:rsidRPr="005422CA">
              <w:rPr>
                <w:rStyle w:val="fulltext-it"/>
                <w:szCs w:val="24"/>
              </w:rPr>
              <w:t xml:space="preserve"> that the hip function of our young adult patients was reduced in those with osteonecrosis grades III and IV by a degree that was clinically important. However, these differences were no longer seen in the adjusted analysis – scores were above 88/100 points and almost identical across all four grades of osteonecrosis. This suggests that the effects of the osteonecrosis alone did not explain the reduced hip function in grades III and IV.</w:t>
            </w:r>
          </w:p>
          <w:p w:rsidR="00E665C2" w:rsidRDefault="00E665C2" w:rsidP="00191A23">
            <w:pPr>
              <w:tabs>
                <w:tab w:val="left" w:pos="5400"/>
              </w:tabs>
              <w:rPr>
                <w:rStyle w:val="fulltext-it"/>
                <w:szCs w:val="24"/>
              </w:rPr>
            </w:pPr>
          </w:p>
          <w:p w:rsidR="00E665C2" w:rsidRPr="0022554A" w:rsidRDefault="00E665C2" w:rsidP="00191A23">
            <w:pPr>
              <w:tabs>
                <w:tab w:val="left" w:pos="5400"/>
              </w:tabs>
              <w:rPr>
                <w:sz w:val="20"/>
              </w:rPr>
            </w:pPr>
          </w:p>
        </w:tc>
      </w:tr>
      <w:tr w:rsidR="00191A23" w:rsidRPr="0022554A" w:rsidTr="00E665C2">
        <w:tc>
          <w:tcPr>
            <w:tcW w:w="0" w:type="auto"/>
          </w:tcPr>
          <w:p w:rsidR="00191A23" w:rsidRPr="0022554A" w:rsidRDefault="00191A23" w:rsidP="00191A23">
            <w:pPr>
              <w:tabs>
                <w:tab w:val="left" w:pos="5400"/>
              </w:tabs>
              <w:rPr>
                <w:bCs/>
                <w:sz w:val="20"/>
              </w:rPr>
            </w:pPr>
            <w:bookmarkStart w:id="88" w:name="italic46" w:colFirst="0" w:colLast="0"/>
            <w:bookmarkStart w:id="89" w:name="bold47" w:colFirst="0" w:colLast="0"/>
            <w:bookmarkEnd w:id="86"/>
            <w:bookmarkEnd w:id="87"/>
            <w:r w:rsidRPr="0022554A">
              <w:rPr>
                <w:bCs/>
                <w:sz w:val="20"/>
              </w:rPr>
              <w:lastRenderedPageBreak/>
              <w:t>Limitations</w:t>
            </w:r>
          </w:p>
        </w:tc>
        <w:tc>
          <w:tcPr>
            <w:tcW w:w="0" w:type="auto"/>
          </w:tcPr>
          <w:p w:rsidR="00191A23" w:rsidRPr="0022554A" w:rsidRDefault="00191A23" w:rsidP="00191A23">
            <w:pPr>
              <w:tabs>
                <w:tab w:val="left" w:pos="5400"/>
              </w:tabs>
              <w:jc w:val="center"/>
              <w:rPr>
                <w:sz w:val="20"/>
              </w:rPr>
            </w:pPr>
            <w:r w:rsidRPr="0022554A">
              <w:rPr>
                <w:sz w:val="20"/>
              </w:rPr>
              <w:t>19</w:t>
            </w:r>
          </w:p>
        </w:tc>
        <w:tc>
          <w:tcPr>
            <w:tcW w:w="5427" w:type="dxa"/>
          </w:tcPr>
          <w:p w:rsidR="00E665C2" w:rsidRDefault="00191A23" w:rsidP="00E665C2">
            <w:pPr>
              <w:tabs>
                <w:tab w:val="left" w:pos="4893"/>
              </w:tabs>
              <w:rPr>
                <w:sz w:val="20"/>
              </w:rPr>
            </w:pPr>
            <w:r w:rsidRPr="0022554A">
              <w:rPr>
                <w:sz w:val="20"/>
              </w:rPr>
              <w:t>Discuss limitations of the study, taking into account sources of potential bias or imprecision. Discuss both direction and</w:t>
            </w:r>
            <w:r w:rsidR="00E665C2" w:rsidRPr="0022554A">
              <w:rPr>
                <w:sz w:val="20"/>
              </w:rPr>
              <w:t xml:space="preserve"> magnitude of any potential bias</w:t>
            </w:r>
          </w:p>
          <w:p w:rsidR="00E665C2" w:rsidRDefault="00E665C2" w:rsidP="00E665C2">
            <w:pPr>
              <w:tabs>
                <w:tab w:val="left" w:pos="5400"/>
              </w:tabs>
              <w:rPr>
                <w:sz w:val="20"/>
              </w:rPr>
            </w:pPr>
          </w:p>
          <w:p w:rsidR="00E665C2" w:rsidRPr="0022554A" w:rsidRDefault="00191A23" w:rsidP="00E665C2">
            <w:pPr>
              <w:tabs>
                <w:tab w:val="left" w:pos="5400"/>
              </w:tabs>
              <w:rPr>
                <w:sz w:val="20"/>
              </w:rPr>
            </w:pPr>
            <w:r w:rsidRPr="0022554A">
              <w:rPr>
                <w:sz w:val="20"/>
              </w:rPr>
              <w:t xml:space="preserve"> </w:t>
            </w:r>
          </w:p>
          <w:p w:rsidR="00FF28A8" w:rsidRPr="0022554A" w:rsidRDefault="00FF28A8" w:rsidP="00FF28A8">
            <w:pPr>
              <w:tabs>
                <w:tab w:val="left" w:pos="5400"/>
              </w:tabs>
              <w:rPr>
                <w:sz w:val="20"/>
              </w:rPr>
            </w:pPr>
          </w:p>
        </w:tc>
        <w:tc>
          <w:tcPr>
            <w:tcW w:w="567" w:type="dxa"/>
          </w:tcPr>
          <w:p w:rsidR="00191A23" w:rsidRPr="0022554A" w:rsidRDefault="00E665C2" w:rsidP="00191A23">
            <w:pPr>
              <w:tabs>
                <w:tab w:val="left" w:pos="5400"/>
              </w:tabs>
              <w:rPr>
                <w:sz w:val="20"/>
              </w:rPr>
            </w:pPr>
            <w:r>
              <w:rPr>
                <w:sz w:val="20"/>
              </w:rPr>
              <w:t>15</w:t>
            </w:r>
          </w:p>
        </w:tc>
        <w:tc>
          <w:tcPr>
            <w:tcW w:w="3969" w:type="dxa"/>
          </w:tcPr>
          <w:p w:rsidR="00E665C2" w:rsidRDefault="00E665C2" w:rsidP="00E665C2">
            <w:pPr>
              <w:tabs>
                <w:tab w:val="left" w:pos="5400"/>
              </w:tabs>
              <w:rPr>
                <w:rStyle w:val="fulltext-it"/>
                <w:szCs w:val="24"/>
              </w:rPr>
            </w:pPr>
            <w:r w:rsidRPr="005422CA">
              <w:rPr>
                <w:rStyle w:val="fulltext-it"/>
                <w:szCs w:val="24"/>
              </w:rPr>
              <w:t>It is unknown how the remaining 13 patients not included in this follow up study faired over those eight years – this limits our conclusions about how patients change over time.</w:t>
            </w:r>
          </w:p>
          <w:p w:rsidR="00E665C2" w:rsidRPr="005422CA" w:rsidRDefault="00E665C2" w:rsidP="00E665C2">
            <w:pPr>
              <w:spacing w:line="480" w:lineRule="auto"/>
              <w:rPr>
                <w:rStyle w:val="fulltext-it"/>
                <w:szCs w:val="24"/>
              </w:rPr>
            </w:pPr>
          </w:p>
          <w:p w:rsidR="00191A23" w:rsidRPr="0022554A" w:rsidRDefault="00E665C2" w:rsidP="00E665C2">
            <w:pPr>
              <w:tabs>
                <w:tab w:val="left" w:pos="5400"/>
              </w:tabs>
              <w:rPr>
                <w:sz w:val="20"/>
              </w:rPr>
            </w:pPr>
            <w:r w:rsidRPr="005422CA">
              <w:rPr>
                <w:rStyle w:val="fulltext-it"/>
                <w:szCs w:val="24"/>
              </w:rPr>
              <w:t xml:space="preserve">We note other potential limitations of this study. The </w:t>
            </w:r>
            <w:r w:rsidRPr="005422CA">
              <w:rPr>
                <w:szCs w:val="24"/>
              </w:rPr>
              <w:t>participants of this study may have been too young to discern the ultimate effects of osteonecrosis on patient-reported outcomes. However, we selected this age group deliberately to gather insight into patients transitioning from paediatric to adult health care services</w:t>
            </w:r>
            <w:r>
              <w:rPr>
                <w:szCs w:val="24"/>
              </w:rPr>
              <w:t xml:space="preserve">, when </w:t>
            </w:r>
            <w:r w:rsidRPr="005422CA">
              <w:rPr>
                <w:szCs w:val="24"/>
              </w:rPr>
              <w:t>activities and demands change after leaving school</w:t>
            </w:r>
            <w:r>
              <w:rPr>
                <w:szCs w:val="24"/>
              </w:rPr>
              <w:t xml:space="preserve"> [38] often</w:t>
            </w:r>
            <w:r w:rsidRPr="005422CA">
              <w:rPr>
                <w:szCs w:val="24"/>
              </w:rPr>
              <w:t xml:space="preserve"> herald</w:t>
            </w:r>
            <w:r>
              <w:rPr>
                <w:szCs w:val="24"/>
              </w:rPr>
              <w:t>ing</w:t>
            </w:r>
            <w:r w:rsidRPr="005422CA">
              <w:rPr>
                <w:szCs w:val="24"/>
              </w:rPr>
              <w:t xml:space="preserve"> the onset of functional impairments</w:t>
            </w:r>
          </w:p>
        </w:tc>
      </w:tr>
      <w:tr w:rsidR="00191A23" w:rsidRPr="0022554A" w:rsidTr="00E665C2">
        <w:tc>
          <w:tcPr>
            <w:tcW w:w="0" w:type="auto"/>
          </w:tcPr>
          <w:p w:rsidR="00191A23" w:rsidRPr="0022554A" w:rsidRDefault="00191A23" w:rsidP="00191A23">
            <w:pPr>
              <w:tabs>
                <w:tab w:val="left" w:pos="5400"/>
              </w:tabs>
              <w:rPr>
                <w:bCs/>
                <w:sz w:val="20"/>
              </w:rPr>
            </w:pPr>
            <w:bookmarkStart w:id="90" w:name="italic47" w:colFirst="0" w:colLast="0"/>
            <w:bookmarkStart w:id="91" w:name="bold48" w:colFirst="0" w:colLast="0"/>
            <w:bookmarkEnd w:id="88"/>
            <w:bookmarkEnd w:id="89"/>
            <w:r w:rsidRPr="0022554A">
              <w:rPr>
                <w:bCs/>
                <w:sz w:val="20"/>
              </w:rPr>
              <w:t>Interpretation</w:t>
            </w:r>
          </w:p>
        </w:tc>
        <w:tc>
          <w:tcPr>
            <w:tcW w:w="0" w:type="auto"/>
          </w:tcPr>
          <w:p w:rsidR="00191A23" w:rsidRPr="0022554A" w:rsidRDefault="00191A23" w:rsidP="00191A23">
            <w:pPr>
              <w:tabs>
                <w:tab w:val="left" w:pos="5400"/>
              </w:tabs>
              <w:jc w:val="center"/>
              <w:rPr>
                <w:sz w:val="20"/>
              </w:rPr>
            </w:pPr>
            <w:r w:rsidRPr="0022554A">
              <w:rPr>
                <w:sz w:val="20"/>
              </w:rPr>
              <w:t>20</w:t>
            </w:r>
          </w:p>
        </w:tc>
        <w:tc>
          <w:tcPr>
            <w:tcW w:w="5427" w:type="dxa"/>
          </w:tcPr>
          <w:p w:rsidR="00191A23" w:rsidRDefault="00191A23" w:rsidP="00191A23">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p w:rsidR="00E665C2" w:rsidRDefault="00E665C2" w:rsidP="00191A23">
            <w:pPr>
              <w:tabs>
                <w:tab w:val="left" w:pos="5400"/>
              </w:tabs>
              <w:rPr>
                <w:rStyle w:val="fulltext-it"/>
                <w:szCs w:val="24"/>
              </w:rPr>
            </w:pPr>
          </w:p>
          <w:p w:rsidR="00E665C2" w:rsidRDefault="00E665C2" w:rsidP="00191A23">
            <w:pPr>
              <w:tabs>
                <w:tab w:val="left" w:pos="5400"/>
              </w:tabs>
              <w:rPr>
                <w:szCs w:val="24"/>
              </w:rPr>
            </w:pPr>
          </w:p>
          <w:p w:rsidR="00E665C2" w:rsidRPr="0022554A" w:rsidRDefault="00E665C2" w:rsidP="00191A23">
            <w:pPr>
              <w:tabs>
                <w:tab w:val="left" w:pos="5400"/>
              </w:tabs>
              <w:rPr>
                <w:sz w:val="20"/>
              </w:rPr>
            </w:pPr>
          </w:p>
        </w:tc>
        <w:tc>
          <w:tcPr>
            <w:tcW w:w="567" w:type="dxa"/>
          </w:tcPr>
          <w:p w:rsidR="00191A23" w:rsidRPr="0022554A" w:rsidRDefault="00E665C2" w:rsidP="00191A23">
            <w:pPr>
              <w:tabs>
                <w:tab w:val="left" w:pos="5400"/>
              </w:tabs>
              <w:rPr>
                <w:sz w:val="20"/>
              </w:rPr>
            </w:pPr>
            <w:r>
              <w:rPr>
                <w:sz w:val="20"/>
              </w:rPr>
              <w:t>16</w:t>
            </w:r>
          </w:p>
        </w:tc>
        <w:tc>
          <w:tcPr>
            <w:tcW w:w="3969" w:type="dxa"/>
          </w:tcPr>
          <w:p w:rsidR="00E665C2" w:rsidRDefault="00E665C2" w:rsidP="00E665C2">
            <w:pPr>
              <w:tabs>
                <w:tab w:val="left" w:pos="5400"/>
              </w:tabs>
              <w:rPr>
                <w:szCs w:val="24"/>
              </w:rPr>
            </w:pPr>
            <w:r w:rsidRPr="005422CA">
              <w:rPr>
                <w:rStyle w:val="fulltext-it"/>
                <w:szCs w:val="24"/>
              </w:rPr>
              <w:t>W</w:t>
            </w:r>
            <w:r w:rsidRPr="005422CA">
              <w:rPr>
                <w:szCs w:val="24"/>
              </w:rPr>
              <w:t>e demonstrated that at a mean age of 21 years, patients with and without osteonecrosis</w:t>
            </w:r>
            <w:r>
              <w:rPr>
                <w:szCs w:val="24"/>
              </w:rPr>
              <w:t xml:space="preserve">, </w:t>
            </w:r>
            <w:r w:rsidRPr="005422CA">
              <w:rPr>
                <w:szCs w:val="24"/>
              </w:rPr>
              <w:t xml:space="preserve">on </w:t>
            </w:r>
            <w:r>
              <w:rPr>
                <w:szCs w:val="24"/>
              </w:rPr>
              <w:t>the</w:t>
            </w:r>
            <w:r w:rsidRPr="005422CA">
              <w:rPr>
                <w:szCs w:val="24"/>
              </w:rPr>
              <w:t xml:space="preserve"> whole</w:t>
            </w:r>
            <w:r>
              <w:rPr>
                <w:szCs w:val="24"/>
              </w:rPr>
              <w:t>,</w:t>
            </w:r>
            <w:r w:rsidRPr="005422CA">
              <w:rPr>
                <w:szCs w:val="24"/>
              </w:rPr>
              <w:t xml:space="preserve"> reported high scores in patient-reported outcomes. </w:t>
            </w:r>
            <w:r>
              <w:rPr>
                <w:szCs w:val="24"/>
              </w:rPr>
              <w:t>There are outliers with poor functional scores, but it would appear that factors other than osteonecrosis contribute to this disability.</w:t>
            </w:r>
          </w:p>
          <w:p w:rsidR="00191A23" w:rsidRPr="0022554A" w:rsidRDefault="00191A23" w:rsidP="00191A23">
            <w:pPr>
              <w:tabs>
                <w:tab w:val="left" w:pos="5400"/>
              </w:tabs>
              <w:rPr>
                <w:sz w:val="20"/>
              </w:rPr>
            </w:pPr>
          </w:p>
        </w:tc>
      </w:tr>
      <w:tr w:rsidR="00191A23" w:rsidRPr="0022554A" w:rsidTr="00E665C2">
        <w:tc>
          <w:tcPr>
            <w:tcW w:w="0" w:type="auto"/>
          </w:tcPr>
          <w:p w:rsidR="00191A23" w:rsidRPr="0022554A" w:rsidRDefault="00191A23" w:rsidP="00191A23">
            <w:pPr>
              <w:tabs>
                <w:tab w:val="left" w:pos="5400"/>
              </w:tabs>
              <w:rPr>
                <w:bCs/>
                <w:sz w:val="20"/>
              </w:rPr>
            </w:pPr>
            <w:bookmarkStart w:id="92" w:name="italic48" w:colFirst="0" w:colLast="0"/>
            <w:bookmarkStart w:id="93" w:name="bold49" w:colFirst="0" w:colLast="0"/>
            <w:bookmarkEnd w:id="90"/>
            <w:bookmarkEnd w:id="91"/>
            <w:r w:rsidRPr="0022554A">
              <w:rPr>
                <w:bCs/>
                <w:sz w:val="20"/>
              </w:rPr>
              <w:t>Generalisability</w:t>
            </w:r>
          </w:p>
        </w:tc>
        <w:tc>
          <w:tcPr>
            <w:tcW w:w="0" w:type="auto"/>
          </w:tcPr>
          <w:p w:rsidR="00191A23" w:rsidRPr="0022554A" w:rsidRDefault="00191A23" w:rsidP="00191A23">
            <w:pPr>
              <w:tabs>
                <w:tab w:val="left" w:pos="5400"/>
              </w:tabs>
              <w:jc w:val="center"/>
              <w:rPr>
                <w:sz w:val="20"/>
              </w:rPr>
            </w:pPr>
            <w:r w:rsidRPr="0022554A">
              <w:rPr>
                <w:sz w:val="20"/>
              </w:rPr>
              <w:t>21</w:t>
            </w:r>
          </w:p>
        </w:tc>
        <w:tc>
          <w:tcPr>
            <w:tcW w:w="5427" w:type="dxa"/>
          </w:tcPr>
          <w:p w:rsidR="00191A23" w:rsidRDefault="00191A23" w:rsidP="00191A23">
            <w:pPr>
              <w:tabs>
                <w:tab w:val="left" w:pos="5400"/>
              </w:tabs>
              <w:rPr>
                <w:sz w:val="20"/>
              </w:rPr>
            </w:pPr>
            <w:r w:rsidRPr="0022554A">
              <w:rPr>
                <w:sz w:val="20"/>
              </w:rPr>
              <w:t>Discuss the generalisability (external validity) of the study results</w:t>
            </w:r>
          </w:p>
          <w:p w:rsidR="00FF28A8" w:rsidRPr="0022554A" w:rsidRDefault="00FF28A8" w:rsidP="00191A23">
            <w:pPr>
              <w:tabs>
                <w:tab w:val="left" w:pos="5400"/>
              </w:tabs>
              <w:rPr>
                <w:sz w:val="20"/>
              </w:rPr>
            </w:pPr>
          </w:p>
        </w:tc>
        <w:tc>
          <w:tcPr>
            <w:tcW w:w="567" w:type="dxa"/>
          </w:tcPr>
          <w:p w:rsidR="00191A23" w:rsidRPr="0022554A" w:rsidRDefault="00E665C2" w:rsidP="00191A23">
            <w:pPr>
              <w:tabs>
                <w:tab w:val="left" w:pos="5400"/>
              </w:tabs>
              <w:rPr>
                <w:sz w:val="20"/>
              </w:rPr>
            </w:pPr>
            <w:r>
              <w:rPr>
                <w:sz w:val="20"/>
              </w:rPr>
              <w:lastRenderedPageBreak/>
              <w:t>16</w:t>
            </w:r>
          </w:p>
        </w:tc>
        <w:tc>
          <w:tcPr>
            <w:tcW w:w="3969" w:type="dxa"/>
          </w:tcPr>
          <w:p w:rsidR="00191A23" w:rsidRPr="0022554A" w:rsidRDefault="00E665C2" w:rsidP="00191A23">
            <w:pPr>
              <w:tabs>
                <w:tab w:val="left" w:pos="5400"/>
              </w:tabs>
              <w:rPr>
                <w:sz w:val="20"/>
              </w:rPr>
            </w:pPr>
            <w:r w:rsidRPr="005422CA">
              <w:rPr>
                <w:szCs w:val="24"/>
              </w:rPr>
              <w:t>Clinicians could use this information</w:t>
            </w:r>
            <w:r>
              <w:rPr>
                <w:szCs w:val="24"/>
              </w:rPr>
              <w:t xml:space="preserve"> when </w:t>
            </w:r>
            <w:r w:rsidRPr="005422CA">
              <w:rPr>
                <w:szCs w:val="24"/>
              </w:rPr>
              <w:t>coun</w:t>
            </w:r>
            <w:r>
              <w:rPr>
                <w:szCs w:val="24"/>
              </w:rPr>
              <w:t>se</w:t>
            </w:r>
            <w:r w:rsidRPr="005422CA">
              <w:rPr>
                <w:szCs w:val="24"/>
              </w:rPr>
              <w:t>l</w:t>
            </w:r>
            <w:r>
              <w:rPr>
                <w:szCs w:val="24"/>
              </w:rPr>
              <w:t>ling</w:t>
            </w:r>
            <w:r w:rsidRPr="005422CA">
              <w:rPr>
                <w:szCs w:val="24"/>
              </w:rPr>
              <w:t xml:space="preserve"> the carers of </w:t>
            </w:r>
            <w:r w:rsidRPr="005422CA">
              <w:rPr>
                <w:szCs w:val="24"/>
              </w:rPr>
              <w:lastRenderedPageBreak/>
              <w:t xml:space="preserve">affected children early </w:t>
            </w:r>
            <w:r>
              <w:rPr>
                <w:szCs w:val="24"/>
              </w:rPr>
              <w:t xml:space="preserve">when a </w:t>
            </w:r>
            <w:r w:rsidRPr="005422CA">
              <w:rPr>
                <w:szCs w:val="24"/>
              </w:rPr>
              <w:t>diagnosis of osteonecrosis</w:t>
            </w:r>
            <w:r>
              <w:rPr>
                <w:szCs w:val="24"/>
              </w:rPr>
              <w:t xml:space="preserve"> is made</w:t>
            </w:r>
            <w:r w:rsidRPr="005422CA">
              <w:rPr>
                <w:szCs w:val="24"/>
              </w:rPr>
              <w:t>. It may also aid in determining the need (or frequency) for orthopaedic follow up appointments after skeletal maturity.</w:t>
            </w:r>
          </w:p>
        </w:tc>
      </w:tr>
      <w:tr w:rsidR="00191A23" w:rsidRPr="0022554A" w:rsidTr="00E665C2">
        <w:tc>
          <w:tcPr>
            <w:tcW w:w="1911" w:type="dxa"/>
            <w:gridSpan w:val="2"/>
          </w:tcPr>
          <w:p w:rsidR="00191A23" w:rsidRPr="0022554A" w:rsidRDefault="00191A23" w:rsidP="00191A23">
            <w:pPr>
              <w:pStyle w:val="TableSubHead"/>
              <w:tabs>
                <w:tab w:val="left" w:pos="5400"/>
              </w:tabs>
              <w:rPr>
                <w:sz w:val="20"/>
              </w:rPr>
            </w:pPr>
            <w:bookmarkStart w:id="94" w:name="italic49"/>
            <w:bookmarkStart w:id="95" w:name="bold50"/>
            <w:bookmarkEnd w:id="92"/>
            <w:bookmarkEnd w:id="93"/>
            <w:r w:rsidRPr="0022554A">
              <w:rPr>
                <w:sz w:val="20"/>
              </w:rPr>
              <w:lastRenderedPageBreak/>
              <w:t>Other information</w:t>
            </w:r>
          </w:p>
        </w:tc>
        <w:bookmarkEnd w:id="94"/>
        <w:bookmarkEnd w:id="95"/>
        <w:tc>
          <w:tcPr>
            <w:tcW w:w="9963" w:type="dxa"/>
            <w:gridSpan w:val="3"/>
          </w:tcPr>
          <w:p w:rsidR="00191A23" w:rsidRPr="0022554A" w:rsidRDefault="00191A23" w:rsidP="00191A23">
            <w:pPr>
              <w:pStyle w:val="TableSubHead"/>
              <w:tabs>
                <w:tab w:val="left" w:pos="5400"/>
              </w:tabs>
              <w:rPr>
                <w:sz w:val="20"/>
              </w:rPr>
            </w:pPr>
          </w:p>
        </w:tc>
      </w:tr>
      <w:tr w:rsidR="00191A23" w:rsidRPr="0022554A" w:rsidTr="00E665C2">
        <w:tc>
          <w:tcPr>
            <w:tcW w:w="0" w:type="auto"/>
          </w:tcPr>
          <w:p w:rsidR="00191A23" w:rsidRPr="0022554A" w:rsidRDefault="00191A23" w:rsidP="00191A23">
            <w:pPr>
              <w:tabs>
                <w:tab w:val="left" w:pos="5400"/>
              </w:tabs>
              <w:rPr>
                <w:bCs/>
                <w:sz w:val="20"/>
              </w:rPr>
            </w:pPr>
            <w:bookmarkStart w:id="96" w:name="italic50" w:colFirst="0" w:colLast="0"/>
            <w:bookmarkStart w:id="97" w:name="bold51" w:colFirst="0" w:colLast="0"/>
            <w:r w:rsidRPr="0022554A">
              <w:rPr>
                <w:bCs/>
                <w:sz w:val="20"/>
              </w:rPr>
              <w:t>Funding</w:t>
            </w:r>
          </w:p>
        </w:tc>
        <w:tc>
          <w:tcPr>
            <w:tcW w:w="0" w:type="auto"/>
          </w:tcPr>
          <w:p w:rsidR="00191A23" w:rsidRPr="0022554A" w:rsidRDefault="00191A23" w:rsidP="00191A23">
            <w:pPr>
              <w:tabs>
                <w:tab w:val="left" w:pos="5400"/>
              </w:tabs>
              <w:jc w:val="center"/>
              <w:rPr>
                <w:sz w:val="20"/>
              </w:rPr>
            </w:pPr>
            <w:r w:rsidRPr="0022554A">
              <w:rPr>
                <w:sz w:val="20"/>
              </w:rPr>
              <w:t>22</w:t>
            </w:r>
          </w:p>
        </w:tc>
        <w:tc>
          <w:tcPr>
            <w:tcW w:w="5427" w:type="dxa"/>
          </w:tcPr>
          <w:p w:rsidR="00191A23" w:rsidRDefault="00191A23" w:rsidP="00191A23">
            <w:pPr>
              <w:tabs>
                <w:tab w:val="left" w:pos="5400"/>
              </w:tabs>
              <w:rPr>
                <w:sz w:val="20"/>
              </w:rPr>
            </w:pPr>
            <w:r w:rsidRPr="0022554A">
              <w:rPr>
                <w:sz w:val="20"/>
              </w:rPr>
              <w:t>Give the source of funding and the role of the funders for the present study and, if applicable, for the original study on which the present article is based</w:t>
            </w:r>
          </w:p>
          <w:p w:rsidR="00E665C2" w:rsidRDefault="00E665C2" w:rsidP="00E665C2">
            <w:pPr>
              <w:pStyle w:val="NoSpacing"/>
              <w:rPr>
                <w:rFonts w:ascii="Times New Roman" w:hAnsi="Times New Roman"/>
                <w:sz w:val="24"/>
                <w:szCs w:val="24"/>
                <w:lang w:val="en-US"/>
              </w:rPr>
            </w:pPr>
          </w:p>
          <w:p w:rsidR="00FF28A8" w:rsidRPr="0022554A" w:rsidRDefault="00FF28A8" w:rsidP="00E665C2">
            <w:pPr>
              <w:pStyle w:val="NoSpacing"/>
              <w:rPr>
                <w:sz w:val="20"/>
              </w:rPr>
            </w:pPr>
          </w:p>
        </w:tc>
        <w:tc>
          <w:tcPr>
            <w:tcW w:w="567" w:type="dxa"/>
          </w:tcPr>
          <w:p w:rsidR="00191A23" w:rsidRPr="0022554A" w:rsidRDefault="00E665C2" w:rsidP="00191A23">
            <w:pPr>
              <w:tabs>
                <w:tab w:val="left" w:pos="5400"/>
              </w:tabs>
              <w:rPr>
                <w:sz w:val="20"/>
              </w:rPr>
            </w:pPr>
            <w:r>
              <w:rPr>
                <w:sz w:val="20"/>
              </w:rPr>
              <w:t>17</w:t>
            </w:r>
          </w:p>
        </w:tc>
        <w:tc>
          <w:tcPr>
            <w:tcW w:w="3969" w:type="dxa"/>
          </w:tcPr>
          <w:p w:rsidR="00E665C2" w:rsidRPr="00DB06FD" w:rsidRDefault="00E665C2" w:rsidP="00E665C2">
            <w:pPr>
              <w:pStyle w:val="NoSpacing"/>
              <w:rPr>
                <w:rFonts w:ascii="Times New Roman" w:eastAsia="Batang" w:hAnsi="Times New Roman"/>
                <w:sz w:val="24"/>
                <w:szCs w:val="24"/>
              </w:rPr>
            </w:pPr>
            <w:r>
              <w:rPr>
                <w:rFonts w:ascii="Times New Roman" w:hAnsi="Times New Roman"/>
                <w:sz w:val="24"/>
                <w:szCs w:val="24"/>
                <w:lang w:val="en-US"/>
              </w:rPr>
              <w:t>This study was funded by grants from Orthopaedic Research UK; NIHR; and Great Ormond Street Hospital Children’s Charity. All funders were involved in all aspects of the research including collection and analysis of data collected and funding full time staff members.</w:t>
            </w:r>
          </w:p>
          <w:p w:rsidR="00191A23" w:rsidRPr="0022554A" w:rsidRDefault="00191A23" w:rsidP="00191A23">
            <w:pPr>
              <w:tabs>
                <w:tab w:val="left" w:pos="5400"/>
              </w:tabs>
              <w:rPr>
                <w:sz w:val="20"/>
              </w:rPr>
            </w:pPr>
          </w:p>
        </w:tc>
      </w:tr>
      <w:bookmarkEnd w:id="96"/>
      <w:bookmarkEnd w:id="97"/>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FF28A8">
      <w:footerReference w:type="even" r:id="rId8"/>
      <w:footerReference w:type="default" r:id="rId9"/>
      <w:pgSz w:w="16834" w:h="11909" w:orient="landscape"/>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31F" w:rsidRDefault="00B5631F">
      <w:r>
        <w:separator/>
      </w:r>
    </w:p>
  </w:endnote>
  <w:endnote w:type="continuationSeparator" w:id="0">
    <w:p w:rsidR="00B5631F" w:rsidRDefault="00B56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C96" w:rsidRDefault="00A13C96" w:rsidP="00A13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3C96" w:rsidRDefault="00A13C96" w:rsidP="005D0C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C96" w:rsidRDefault="00A13C96" w:rsidP="007F7F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1916">
      <w:rPr>
        <w:rStyle w:val="PageNumber"/>
        <w:noProof/>
      </w:rPr>
      <w:t>11</w:t>
    </w:r>
    <w:r>
      <w:rPr>
        <w:rStyle w:val="PageNumber"/>
      </w:rPr>
      <w:fldChar w:fldCharType="end"/>
    </w:r>
  </w:p>
  <w:p w:rsidR="00A13C96" w:rsidRDefault="00A13C96" w:rsidP="005D0C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31F" w:rsidRDefault="00B5631F">
      <w:r>
        <w:separator/>
      </w:r>
    </w:p>
  </w:footnote>
  <w:footnote w:type="continuationSeparator" w:id="0">
    <w:p w:rsidR="00B5631F" w:rsidRDefault="00B563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1" w15:restartNumberingAfterBreak="0">
    <w:nsid w:val="6F9C726A"/>
    <w:multiLevelType w:val="hybridMultilevel"/>
    <w:tmpl w:val="94BC9AAA"/>
    <w:lvl w:ilvl="0" w:tplc="39420B30">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F67FBB"/>
    <w:multiLevelType w:val="hybridMultilevel"/>
    <w:tmpl w:val="37C853C8"/>
    <w:lvl w:ilvl="0" w:tplc="70969E58">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BE"/>
    <w:rsid w:val="00002974"/>
    <w:rsid w:val="00005F0F"/>
    <w:rsid w:val="00023515"/>
    <w:rsid w:val="00093E3A"/>
    <w:rsid w:val="000B6FD4"/>
    <w:rsid w:val="000E3193"/>
    <w:rsid w:val="000E691B"/>
    <w:rsid w:val="000F26ED"/>
    <w:rsid w:val="00110BFB"/>
    <w:rsid w:val="00134AAC"/>
    <w:rsid w:val="00191A23"/>
    <w:rsid w:val="001A495C"/>
    <w:rsid w:val="001A75E9"/>
    <w:rsid w:val="001E02AD"/>
    <w:rsid w:val="0021265E"/>
    <w:rsid w:val="00215E03"/>
    <w:rsid w:val="00224268"/>
    <w:rsid w:val="0022554A"/>
    <w:rsid w:val="00226A29"/>
    <w:rsid w:val="002552FD"/>
    <w:rsid w:val="002602FB"/>
    <w:rsid w:val="002B385C"/>
    <w:rsid w:val="002C731D"/>
    <w:rsid w:val="002D06D0"/>
    <w:rsid w:val="002D1ABE"/>
    <w:rsid w:val="002F1A87"/>
    <w:rsid w:val="003354B7"/>
    <w:rsid w:val="003508EF"/>
    <w:rsid w:val="00372129"/>
    <w:rsid w:val="00385050"/>
    <w:rsid w:val="003A3FDD"/>
    <w:rsid w:val="00404D2C"/>
    <w:rsid w:val="004060E6"/>
    <w:rsid w:val="00407BEA"/>
    <w:rsid w:val="004243C8"/>
    <w:rsid w:val="0045419E"/>
    <w:rsid w:val="0045734B"/>
    <w:rsid w:val="00465542"/>
    <w:rsid w:val="00472DF5"/>
    <w:rsid w:val="00495204"/>
    <w:rsid w:val="004A31B3"/>
    <w:rsid w:val="004A32C8"/>
    <w:rsid w:val="004E1263"/>
    <w:rsid w:val="005044A6"/>
    <w:rsid w:val="00517788"/>
    <w:rsid w:val="00590F64"/>
    <w:rsid w:val="005923E5"/>
    <w:rsid w:val="00595C7B"/>
    <w:rsid w:val="005B567D"/>
    <w:rsid w:val="005B7C91"/>
    <w:rsid w:val="005D0CFC"/>
    <w:rsid w:val="005D19F4"/>
    <w:rsid w:val="005F254A"/>
    <w:rsid w:val="006149D3"/>
    <w:rsid w:val="0065657F"/>
    <w:rsid w:val="00666336"/>
    <w:rsid w:val="00683E42"/>
    <w:rsid w:val="006A2F18"/>
    <w:rsid w:val="006A5DD9"/>
    <w:rsid w:val="006B2915"/>
    <w:rsid w:val="006B56D7"/>
    <w:rsid w:val="006C0B63"/>
    <w:rsid w:val="006C7601"/>
    <w:rsid w:val="006D16AA"/>
    <w:rsid w:val="006F66AC"/>
    <w:rsid w:val="00701AC5"/>
    <w:rsid w:val="00711D81"/>
    <w:rsid w:val="0074576C"/>
    <w:rsid w:val="00751916"/>
    <w:rsid w:val="00754BA5"/>
    <w:rsid w:val="007562C3"/>
    <w:rsid w:val="007C72F6"/>
    <w:rsid w:val="007F7FA0"/>
    <w:rsid w:val="00816966"/>
    <w:rsid w:val="00817D26"/>
    <w:rsid w:val="00821CD4"/>
    <w:rsid w:val="008423A7"/>
    <w:rsid w:val="008440CC"/>
    <w:rsid w:val="0089107E"/>
    <w:rsid w:val="00891604"/>
    <w:rsid w:val="008D225B"/>
    <w:rsid w:val="00921BF8"/>
    <w:rsid w:val="009367F9"/>
    <w:rsid w:val="009642BE"/>
    <w:rsid w:val="00976EE1"/>
    <w:rsid w:val="009872CC"/>
    <w:rsid w:val="009B10F1"/>
    <w:rsid w:val="009B368D"/>
    <w:rsid w:val="009C24D4"/>
    <w:rsid w:val="009E0429"/>
    <w:rsid w:val="009F5211"/>
    <w:rsid w:val="00A13C96"/>
    <w:rsid w:val="00A42352"/>
    <w:rsid w:val="00A527E4"/>
    <w:rsid w:val="00A5640D"/>
    <w:rsid w:val="00A729D6"/>
    <w:rsid w:val="00A938BF"/>
    <w:rsid w:val="00AB7BC4"/>
    <w:rsid w:val="00AE23EB"/>
    <w:rsid w:val="00AE2C57"/>
    <w:rsid w:val="00AF4615"/>
    <w:rsid w:val="00B50DF8"/>
    <w:rsid w:val="00B54EA0"/>
    <w:rsid w:val="00B5631F"/>
    <w:rsid w:val="00B60EFB"/>
    <w:rsid w:val="00B65366"/>
    <w:rsid w:val="00B77807"/>
    <w:rsid w:val="00B940E9"/>
    <w:rsid w:val="00BA1206"/>
    <w:rsid w:val="00BC7FE6"/>
    <w:rsid w:val="00BE3709"/>
    <w:rsid w:val="00CA489B"/>
    <w:rsid w:val="00CB6CC8"/>
    <w:rsid w:val="00CC4C93"/>
    <w:rsid w:val="00D120D2"/>
    <w:rsid w:val="00D20D7C"/>
    <w:rsid w:val="00D26FCA"/>
    <w:rsid w:val="00D6407C"/>
    <w:rsid w:val="00D87AF7"/>
    <w:rsid w:val="00DA120C"/>
    <w:rsid w:val="00DC4BEF"/>
    <w:rsid w:val="00E10628"/>
    <w:rsid w:val="00E144CD"/>
    <w:rsid w:val="00E2292B"/>
    <w:rsid w:val="00E341E9"/>
    <w:rsid w:val="00E665C2"/>
    <w:rsid w:val="00EA6E28"/>
    <w:rsid w:val="00F0752A"/>
    <w:rsid w:val="00F378D0"/>
    <w:rsid w:val="00F76A7F"/>
    <w:rsid w:val="00F838E1"/>
    <w:rsid w:val="00F842DC"/>
    <w:rsid w:val="00F876FF"/>
    <w:rsid w:val="00F93A89"/>
    <w:rsid w:val="00F970FA"/>
    <w:rsid w:val="00FA2721"/>
    <w:rsid w:val="00FA3D11"/>
    <w:rsid w:val="00FF28A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196F693A-6CCA-49BF-B5C7-22F5B3C4A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 w:type="character" w:styleId="SubtleEmphasis">
    <w:name w:val="Subtle Emphasis"/>
    <w:basedOn w:val="DefaultParagraphFont"/>
    <w:uiPriority w:val="99"/>
    <w:qFormat/>
    <w:rsid w:val="00FF28A8"/>
    <w:rPr>
      <w:rFonts w:cs="Times New Roman"/>
      <w:i/>
      <w:iCs/>
      <w:color w:val="808080"/>
    </w:rPr>
  </w:style>
  <w:style w:type="paragraph" w:styleId="ListParagraph">
    <w:name w:val="List Paragraph"/>
    <w:basedOn w:val="Normal"/>
    <w:uiPriority w:val="34"/>
    <w:qFormat/>
    <w:rsid w:val="00FF28A8"/>
    <w:pPr>
      <w:ind w:left="720"/>
      <w:contextualSpacing/>
    </w:pPr>
  </w:style>
  <w:style w:type="character" w:customStyle="1" w:styleId="fulltext-it">
    <w:name w:val="fulltext-it"/>
    <w:basedOn w:val="DefaultParagraphFont"/>
    <w:rsid w:val="00FF28A8"/>
    <w:rPr>
      <w:rFonts w:cs="Times New Roman"/>
    </w:rPr>
  </w:style>
  <w:style w:type="paragraph" w:styleId="NoSpacing">
    <w:name w:val="No Spacing"/>
    <w:link w:val="NoSpacingChar"/>
    <w:uiPriority w:val="1"/>
    <w:qFormat/>
    <w:rsid w:val="00FF28A8"/>
    <w:rPr>
      <w:rFonts w:ascii="Arial" w:eastAsia="Calibri" w:hAnsi="Arial"/>
      <w:sz w:val="22"/>
      <w:szCs w:val="22"/>
      <w:lang w:val="en-GB" w:eastAsia="en-US"/>
    </w:rPr>
  </w:style>
  <w:style w:type="character" w:customStyle="1" w:styleId="NoSpacingChar">
    <w:name w:val="No Spacing Char"/>
    <w:basedOn w:val="DefaultParagraphFont"/>
    <w:link w:val="NoSpacing"/>
    <w:uiPriority w:val="1"/>
    <w:locked/>
    <w:rsid w:val="00FF28A8"/>
    <w:rPr>
      <w:rFonts w:ascii="Arial" w:eastAsia="Calibri" w:hAnsi="Arial"/>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5D0F4-CE62-490B-BC96-3230876F6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article.dot</Template>
  <TotalTime>1</TotalTime>
  <Pages>1</Pages>
  <Words>2486</Words>
  <Characters>14175</Characters>
  <Application>Microsoft Office Word</Application>
  <DocSecurity>0</DocSecurity>
  <Lines>118</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16628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A.Roposch</cp:lastModifiedBy>
  <cp:revision>3</cp:revision>
  <cp:lastPrinted>2014-09-01T08:36:00Z</cp:lastPrinted>
  <dcterms:created xsi:type="dcterms:W3CDTF">2020-07-24T10:11:00Z</dcterms:created>
  <dcterms:modified xsi:type="dcterms:W3CDTF">2020-07-24T10:11:00Z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