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03"/>
        <w:tblW w:w="0" w:type="auto"/>
        <w:tblLook w:val="04A0" w:firstRow="1" w:lastRow="0" w:firstColumn="1" w:lastColumn="0" w:noHBand="0" w:noVBand="1"/>
      </w:tblPr>
      <w:tblGrid>
        <w:gridCol w:w="4962"/>
        <w:gridCol w:w="1701"/>
        <w:gridCol w:w="3260"/>
        <w:gridCol w:w="4079"/>
      </w:tblGrid>
      <w:tr w:rsidR="00F52779" w:rsidRPr="00EA0E3B" w:rsidTr="009B14B9">
        <w:trPr>
          <w:trHeight w:val="737"/>
        </w:trPr>
        <w:tc>
          <w:tcPr>
            <w:tcW w:w="0" w:type="auto"/>
            <w:gridSpan w:val="4"/>
            <w:tcBorders>
              <w:bottom w:val="single" w:sz="18" w:space="0" w:color="auto"/>
            </w:tcBorders>
            <w:shd w:val="clear" w:color="auto" w:fill="auto"/>
            <w:vAlign w:val="center"/>
          </w:tcPr>
          <w:p w:rsidR="00F52779" w:rsidRDefault="00F52779" w:rsidP="009B14B9">
            <w:pPr>
              <w:tabs>
                <w:tab w:val="left" w:pos="1418"/>
              </w:tabs>
              <w:spacing w:after="0" w:line="240" w:lineRule="auto"/>
              <w:jc w:val="center"/>
              <w:rPr>
                <w:rFonts w:cs="Arial"/>
                <w:sz w:val="24"/>
                <w:szCs w:val="24"/>
                <w:shd w:val="clear" w:color="auto" w:fill="FFFFFF"/>
              </w:rPr>
            </w:pPr>
            <w:r>
              <w:rPr>
                <w:rFonts w:cs="Arial"/>
                <w:b/>
                <w:sz w:val="24"/>
                <w:szCs w:val="24"/>
              </w:rPr>
              <w:t>Table 4</w:t>
            </w:r>
            <w:r w:rsidRPr="00EA0E3B">
              <w:rPr>
                <w:rFonts w:cs="Arial"/>
                <w:b/>
                <w:sz w:val="24"/>
                <w:szCs w:val="24"/>
              </w:rPr>
              <w:t xml:space="preserve">. </w:t>
            </w:r>
            <w:r w:rsidRPr="00EA0E3B">
              <w:rPr>
                <w:rFonts w:cs="Arial"/>
                <w:sz w:val="24"/>
                <w:szCs w:val="24"/>
              </w:rPr>
              <w:t>M</w:t>
            </w:r>
            <w:r w:rsidRPr="00EA0E3B">
              <w:rPr>
                <w:rFonts w:cs="Arial"/>
                <w:sz w:val="24"/>
                <w:szCs w:val="24"/>
                <w:shd w:val="clear" w:color="auto" w:fill="FFFFFF"/>
              </w:rPr>
              <w:t>aximum adsorption capacities (Q</w:t>
            </w:r>
            <w:r w:rsidRPr="00EA0E3B">
              <w:rPr>
                <w:rFonts w:cs="Arial"/>
                <w:sz w:val="24"/>
                <w:szCs w:val="24"/>
                <w:shd w:val="clear" w:color="auto" w:fill="FFFFFF"/>
                <w:vertAlign w:val="subscript"/>
              </w:rPr>
              <w:t>m</w:t>
            </w:r>
            <w:r w:rsidRPr="00EA0E3B">
              <w:rPr>
                <w:rFonts w:cs="Arial"/>
                <w:sz w:val="24"/>
                <w:szCs w:val="24"/>
                <w:shd w:val="clear" w:color="auto" w:fill="FFFFFF"/>
              </w:rPr>
              <w:t>) of different materials used in</w:t>
            </w:r>
          </w:p>
          <w:p w:rsidR="00F52779" w:rsidRPr="00EA0E3B" w:rsidRDefault="00F52779" w:rsidP="009B14B9">
            <w:pPr>
              <w:tabs>
                <w:tab w:val="left" w:pos="1418"/>
              </w:tabs>
              <w:spacing w:after="0" w:line="240" w:lineRule="auto"/>
              <w:jc w:val="center"/>
              <w:rPr>
                <w:rFonts w:cs="Arial"/>
                <w:color w:val="0000FF"/>
                <w:sz w:val="24"/>
                <w:szCs w:val="24"/>
                <w:shd w:val="clear" w:color="auto" w:fill="FFFFFF"/>
              </w:rPr>
            </w:pPr>
            <w:r w:rsidRPr="00EA0E3B">
              <w:rPr>
                <w:rFonts w:cs="Arial"/>
                <w:sz w:val="24"/>
                <w:szCs w:val="24"/>
                <w:shd w:val="clear" w:color="auto" w:fill="FFFFFF"/>
              </w:rPr>
              <w:t xml:space="preserve"> the adsorption of RR195</w:t>
            </w:r>
          </w:p>
        </w:tc>
      </w:tr>
      <w:tr w:rsidR="00F52779" w:rsidRPr="00EA0E3B" w:rsidTr="009B14B9">
        <w:trPr>
          <w:trHeight w:val="1134"/>
        </w:trPr>
        <w:tc>
          <w:tcPr>
            <w:tcW w:w="4962" w:type="dxa"/>
            <w:tcBorders>
              <w:top w:val="single" w:sz="18" w:space="0" w:color="auto"/>
              <w:bottom w:val="single" w:sz="8" w:space="0" w:color="auto"/>
            </w:tcBorders>
            <w:shd w:val="clear" w:color="auto" w:fill="auto"/>
            <w:vAlign w:val="center"/>
          </w:tcPr>
          <w:p w:rsidR="00F52779" w:rsidRPr="00EA0E3B" w:rsidRDefault="00F52779" w:rsidP="009B14B9">
            <w:pPr>
              <w:widowControl w:val="0"/>
              <w:spacing w:after="0" w:line="240" w:lineRule="auto"/>
              <w:jc w:val="center"/>
              <w:rPr>
                <w:rFonts w:cs="Arial"/>
                <w:b/>
                <w:sz w:val="24"/>
                <w:szCs w:val="24"/>
              </w:rPr>
            </w:pPr>
            <w:r w:rsidRPr="00EA0E3B">
              <w:rPr>
                <w:rFonts w:cs="Arial"/>
                <w:b/>
                <w:sz w:val="24"/>
                <w:szCs w:val="24"/>
              </w:rPr>
              <w:t>Adsorbent</w:t>
            </w:r>
          </w:p>
        </w:tc>
        <w:tc>
          <w:tcPr>
            <w:tcW w:w="1701" w:type="dxa"/>
            <w:tcBorders>
              <w:top w:val="single" w:sz="18" w:space="0" w:color="auto"/>
              <w:bottom w:val="single" w:sz="8" w:space="0" w:color="auto"/>
            </w:tcBorders>
            <w:shd w:val="clear" w:color="auto" w:fill="auto"/>
            <w:vAlign w:val="center"/>
          </w:tcPr>
          <w:p w:rsidR="00F52779" w:rsidRPr="00EA0E3B" w:rsidRDefault="00F52779" w:rsidP="009B14B9">
            <w:pPr>
              <w:widowControl w:val="0"/>
              <w:spacing w:after="0" w:line="240" w:lineRule="auto"/>
              <w:jc w:val="center"/>
              <w:rPr>
                <w:rFonts w:cs="Arial"/>
                <w:b/>
                <w:sz w:val="24"/>
                <w:szCs w:val="24"/>
              </w:rPr>
            </w:pPr>
            <w:r w:rsidRPr="00EA0E3B">
              <w:rPr>
                <w:rFonts w:cs="Arial"/>
                <w:b/>
                <w:sz w:val="24"/>
                <w:szCs w:val="24"/>
              </w:rPr>
              <w:t>Q</w:t>
            </w:r>
            <w:r w:rsidRPr="00EA0E3B">
              <w:rPr>
                <w:rFonts w:cs="Arial"/>
                <w:b/>
                <w:sz w:val="24"/>
                <w:szCs w:val="24"/>
                <w:vertAlign w:val="subscript"/>
              </w:rPr>
              <w:t>m</w:t>
            </w:r>
            <w:r w:rsidRPr="00EA0E3B">
              <w:rPr>
                <w:rFonts w:cs="Arial"/>
                <w:b/>
                <w:sz w:val="24"/>
                <w:szCs w:val="24"/>
              </w:rPr>
              <w:t xml:space="preserve"> </w:t>
            </w:r>
          </w:p>
          <w:p w:rsidR="00F52779" w:rsidRPr="00EA0E3B" w:rsidRDefault="00F52779" w:rsidP="009B14B9">
            <w:pPr>
              <w:widowControl w:val="0"/>
              <w:spacing w:after="0" w:line="240" w:lineRule="auto"/>
              <w:jc w:val="center"/>
              <w:rPr>
                <w:rFonts w:cs="Arial"/>
                <w:b/>
                <w:sz w:val="24"/>
                <w:szCs w:val="24"/>
              </w:rPr>
            </w:pPr>
            <w:r w:rsidRPr="00EA0E3B">
              <w:rPr>
                <w:rFonts w:cs="Arial"/>
                <w:b/>
                <w:sz w:val="24"/>
                <w:szCs w:val="24"/>
              </w:rPr>
              <w:t>(mg g</w:t>
            </w:r>
            <w:r w:rsidRPr="00EA0E3B">
              <w:rPr>
                <w:rFonts w:cs="Arial"/>
                <w:b/>
                <w:sz w:val="24"/>
                <w:szCs w:val="24"/>
                <w:vertAlign w:val="superscript"/>
              </w:rPr>
              <w:t>-1</w:t>
            </w:r>
            <w:r w:rsidRPr="00EA0E3B">
              <w:rPr>
                <w:rFonts w:cs="Arial"/>
                <w:b/>
                <w:sz w:val="24"/>
                <w:szCs w:val="24"/>
              </w:rPr>
              <w:t>)</w:t>
            </w:r>
          </w:p>
        </w:tc>
        <w:tc>
          <w:tcPr>
            <w:tcW w:w="3260" w:type="dxa"/>
            <w:tcBorders>
              <w:top w:val="single" w:sz="18" w:space="0" w:color="auto"/>
              <w:bottom w:val="single" w:sz="8" w:space="0" w:color="auto"/>
            </w:tcBorders>
            <w:shd w:val="clear" w:color="auto" w:fill="auto"/>
            <w:vAlign w:val="center"/>
          </w:tcPr>
          <w:p w:rsidR="00F52779" w:rsidRPr="00EA0E3B" w:rsidRDefault="00F52779" w:rsidP="009B14B9">
            <w:pPr>
              <w:widowControl w:val="0"/>
              <w:spacing w:after="0" w:line="240" w:lineRule="auto"/>
              <w:jc w:val="center"/>
              <w:rPr>
                <w:rFonts w:cs="Arial"/>
                <w:b/>
                <w:sz w:val="24"/>
                <w:szCs w:val="24"/>
              </w:rPr>
            </w:pPr>
            <w:r w:rsidRPr="00EA0E3B">
              <w:rPr>
                <w:rFonts w:cs="Arial"/>
                <w:b/>
                <w:sz w:val="24"/>
                <w:szCs w:val="24"/>
              </w:rPr>
              <w:t>Optimal conditions</w:t>
            </w:r>
          </w:p>
        </w:tc>
        <w:tc>
          <w:tcPr>
            <w:tcW w:w="4079" w:type="dxa"/>
            <w:tcBorders>
              <w:top w:val="single" w:sz="18" w:space="0" w:color="auto"/>
              <w:bottom w:val="single" w:sz="8" w:space="0" w:color="auto"/>
            </w:tcBorders>
            <w:shd w:val="clear" w:color="auto" w:fill="auto"/>
            <w:vAlign w:val="center"/>
          </w:tcPr>
          <w:p w:rsidR="00F52779" w:rsidRPr="00EA0E3B" w:rsidRDefault="00F52779" w:rsidP="009B14B9">
            <w:pPr>
              <w:widowControl w:val="0"/>
              <w:spacing w:after="0" w:line="240" w:lineRule="auto"/>
              <w:jc w:val="center"/>
              <w:rPr>
                <w:rFonts w:cs="Arial"/>
                <w:b/>
                <w:sz w:val="24"/>
                <w:szCs w:val="24"/>
              </w:rPr>
            </w:pPr>
            <w:r w:rsidRPr="00EA0E3B">
              <w:rPr>
                <w:rFonts w:cs="Arial"/>
                <w:b/>
                <w:sz w:val="24"/>
                <w:szCs w:val="24"/>
              </w:rPr>
              <w:t>Reference</w:t>
            </w:r>
          </w:p>
        </w:tc>
      </w:tr>
      <w:tr w:rsidR="00F52779" w:rsidRPr="00EA0E3B" w:rsidTr="009B14B9">
        <w:trPr>
          <w:trHeight w:val="1185"/>
        </w:trPr>
        <w:tc>
          <w:tcPr>
            <w:tcW w:w="4962" w:type="dxa"/>
            <w:tcBorders>
              <w:top w:val="single" w:sz="8" w:space="0" w:color="auto"/>
            </w:tcBorders>
            <w:shd w:val="clear" w:color="auto" w:fill="auto"/>
            <w:vAlign w:val="center"/>
          </w:tcPr>
          <w:p w:rsidR="00F52779" w:rsidRPr="00EA0E3B" w:rsidRDefault="00F52779" w:rsidP="009B14B9">
            <w:pPr>
              <w:widowControl w:val="0"/>
              <w:spacing w:after="0" w:line="240" w:lineRule="auto"/>
              <w:jc w:val="center"/>
              <w:rPr>
                <w:rFonts w:cs="Arial"/>
                <w:b/>
                <w:sz w:val="24"/>
                <w:szCs w:val="24"/>
              </w:rPr>
            </w:pPr>
            <w:r w:rsidRPr="00EA0E3B">
              <w:rPr>
                <w:rFonts w:cs="Arial"/>
                <w:b/>
                <w:sz w:val="24"/>
                <w:szCs w:val="24"/>
              </w:rPr>
              <w:t>Biocomposite of crosslinked oxalic acid-chitosan/alumina ceramic pellets</w:t>
            </w:r>
          </w:p>
        </w:tc>
        <w:tc>
          <w:tcPr>
            <w:tcW w:w="1701" w:type="dxa"/>
            <w:tcBorders>
              <w:top w:val="single" w:sz="8" w:space="0" w:color="auto"/>
            </w:tcBorders>
            <w:shd w:val="clear" w:color="auto" w:fill="auto"/>
            <w:vAlign w:val="center"/>
          </w:tcPr>
          <w:p w:rsidR="00F52779" w:rsidRPr="00EA0E3B" w:rsidRDefault="00F52779" w:rsidP="009B14B9">
            <w:pPr>
              <w:widowControl w:val="0"/>
              <w:suppressLineNumbers/>
              <w:suppressAutoHyphens/>
              <w:spacing w:after="0" w:line="240" w:lineRule="auto"/>
              <w:jc w:val="center"/>
              <w:rPr>
                <w:rFonts w:cs="Arial"/>
                <w:sz w:val="24"/>
                <w:szCs w:val="24"/>
              </w:rPr>
            </w:pPr>
            <w:r w:rsidRPr="00EA0E3B">
              <w:rPr>
                <w:rFonts w:cs="Arial"/>
                <w:sz w:val="24"/>
                <w:szCs w:val="24"/>
              </w:rPr>
              <w:t>345.3</w:t>
            </w:r>
          </w:p>
        </w:tc>
        <w:tc>
          <w:tcPr>
            <w:tcW w:w="3260" w:type="dxa"/>
            <w:tcBorders>
              <w:top w:val="single" w:sz="8" w:space="0" w:color="auto"/>
            </w:tcBorders>
            <w:shd w:val="clear" w:color="auto" w:fill="auto"/>
            <w:vAlign w:val="center"/>
          </w:tcPr>
          <w:p w:rsidR="00F52779" w:rsidRPr="00EA0E3B" w:rsidRDefault="00F52779" w:rsidP="009B14B9">
            <w:pPr>
              <w:widowControl w:val="0"/>
              <w:suppressLineNumbers/>
              <w:suppressAutoHyphens/>
              <w:spacing w:after="0" w:line="240" w:lineRule="auto"/>
              <w:jc w:val="center"/>
              <w:rPr>
                <w:rFonts w:cs="Arial"/>
                <w:sz w:val="24"/>
                <w:szCs w:val="24"/>
              </w:rPr>
            </w:pPr>
            <w:r w:rsidRPr="00EA0E3B">
              <w:rPr>
                <w:rFonts w:cs="Arial"/>
                <w:sz w:val="24"/>
                <w:szCs w:val="24"/>
              </w:rPr>
              <w:t xml:space="preserve">303 K, pH=2 </w:t>
            </w:r>
          </w:p>
        </w:tc>
        <w:tc>
          <w:tcPr>
            <w:tcW w:w="4079" w:type="dxa"/>
            <w:tcBorders>
              <w:top w:val="single" w:sz="8" w:space="0" w:color="auto"/>
            </w:tcBorders>
            <w:shd w:val="clear" w:color="auto" w:fill="auto"/>
            <w:vAlign w:val="center"/>
          </w:tcPr>
          <w:p w:rsidR="00F52779" w:rsidRPr="00EA0E3B" w:rsidRDefault="00F52779" w:rsidP="009B14B9">
            <w:pPr>
              <w:widowControl w:val="0"/>
              <w:suppressLineNumbers/>
              <w:suppressAutoHyphens/>
              <w:spacing w:after="0" w:line="240" w:lineRule="auto"/>
              <w:jc w:val="center"/>
              <w:rPr>
                <w:rFonts w:cs="Arial"/>
                <w:sz w:val="24"/>
                <w:szCs w:val="24"/>
              </w:rPr>
            </w:pPr>
            <w:r w:rsidRPr="00EA0E3B">
              <w:rPr>
                <w:rFonts w:cs="Arial"/>
                <w:sz w:val="24"/>
                <w:szCs w:val="24"/>
              </w:rPr>
              <w:t>Present study</w:t>
            </w:r>
          </w:p>
        </w:tc>
      </w:tr>
      <w:tr w:rsidR="00F52779" w:rsidRPr="00EA0E3B" w:rsidTr="009B14B9">
        <w:trPr>
          <w:trHeight w:val="1134"/>
        </w:trPr>
        <w:tc>
          <w:tcPr>
            <w:tcW w:w="4962"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Wheat bran</w:t>
            </w:r>
          </w:p>
        </w:tc>
        <w:tc>
          <w:tcPr>
            <w:tcW w:w="1701"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119</w:t>
            </w:r>
          </w:p>
        </w:tc>
        <w:tc>
          <w:tcPr>
            <w:tcW w:w="3260"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 xml:space="preserve">20 ºC, pH=1 </w:t>
            </w:r>
          </w:p>
        </w:tc>
        <w:tc>
          <w:tcPr>
            <w:tcW w:w="4079"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fldChar w:fldCharType="begin" w:fldLock="1"/>
            </w:r>
            <w:r>
              <w:rPr>
                <w:rFonts w:cs="Arial"/>
                <w:sz w:val="24"/>
                <w:szCs w:val="24"/>
              </w:rPr>
              <w:instrText>ADDIN CSL_CITATION {"citationItems":[{"id":"ITEM-1","itemData":{"DOI":"10.1016/j.jhazmat.2006.12.037","ISBN":"0304-3894 (Print)\\n0304-3894 (Linking)","ISSN":"03043894","PMID":"17257747","abstract":"In this study, the adsorption of Reactive Blue 19 (RB 19), Reactive Red 195 (RR 195) and Reactive Yellow 145 (RY 145) onto wheat bran, generated as a by-product material from flour factory, was studied with respect to initial pH, temperature, initial dye concentration, adsorbent concentration and adsorbent size. The adsorption of RB 19, RR 195 and RY 145 onto wheat bran increased with increasing temperature and initial dye concentration while the adsorbed RB 19, RR 195 and RY 145 amounts decreased with increasing initial pH and adsorbent concentration. The Langmuir and Freundlich isotherm models were applied to the experimental equilibrium data depending on temperature and the isotherm constants were determined by using linear regression analysis. The monolayer covarage capacities of wheat bran for RB 19, RR 195 and RY 145 dyes were obtained as 117.6, 119.1 and 196.1 mg/g at 60 °C, respectively. It was observed that the reactive dye adsorption capacity of wheat bran decreased in the order of RY 145 &gt; RB 19 &gt; RR 195. The pseudo-second order kinetic and Weber-Morris models were applied to the experimental data and it was found that both the surface adsorption as well as intraparticle diffusion contributed to the actual adsorption processes of RB 19, RR 195 and RY 145. Regression coefficients (R2) for the pseudo-second order kinetic model were higher than 0.99. Thermodynamic studies showed that the adsorption of RB 19, RR 195 and RY 145 dyes onto wheat bran was endothermic in nature. © 2006 Elsevier B.V. All rights reserved.","author":[{"dropping-particle":"","family":"Çiçek","given":"Fatma","non-dropping-particle":"","parse-names":false,"suffix":""},{"dropping-particle":"","family":"Özer","given":"Dursun","non-dropping-particle":"","parse-names":false,"suffix":""},{"dropping-particle":"","family":"Özer","given":"Ahmet","non-dropping-particle":"","parse-names":false,"suffix":""},{"dropping-particle":"","family":"Özer","given":"Ayla","non-dropping-particle":"","parse-names":false,"suffix":""}],"container-title":"Journal of Hazardous Materials","id":"ITEM-1","issue":"1-2","issued":{"date-parts":[["2007"]]},"page":"408-416","title":"Low cost removal of reactive dyes using wheat bran","type":"article-journal","volume":"146"},"uris":["http://www.mendeley.com/documents/?uuid=a69e3b8d-ff86-4128-b323-2ed771a9a243"]}],"mendeley":{"formattedCitation":"(Çiçek et al. 2007)","manualFormatting":"Çiçek et al., (2007","plainTextFormattedCitation":"(Çiçek et al. 2007)","previouslyFormattedCitation":"(Çiçek et al., 2007)"},"properties":{"noteIndex":0},"schema":"https://github.com/citation-style-language/schema/raw/master/csl-citation.json"}</w:instrText>
            </w:r>
            <w:r w:rsidRPr="00EA0E3B">
              <w:rPr>
                <w:rFonts w:cs="Arial"/>
                <w:sz w:val="24"/>
                <w:szCs w:val="24"/>
              </w:rPr>
              <w:fldChar w:fldCharType="separate"/>
            </w:r>
            <w:r w:rsidRPr="00EA0E3B">
              <w:rPr>
                <w:rFonts w:cs="Arial"/>
                <w:noProof/>
                <w:sz w:val="24"/>
                <w:szCs w:val="24"/>
              </w:rPr>
              <w:t xml:space="preserve">Çiçek et al., </w:t>
            </w:r>
            <w:r>
              <w:rPr>
                <w:rFonts w:cs="Arial"/>
                <w:noProof/>
                <w:sz w:val="24"/>
                <w:szCs w:val="24"/>
              </w:rPr>
              <w:t>(</w:t>
            </w:r>
            <w:r w:rsidRPr="00EA0E3B">
              <w:rPr>
                <w:rFonts w:cs="Arial"/>
                <w:noProof/>
                <w:sz w:val="24"/>
                <w:szCs w:val="24"/>
              </w:rPr>
              <w:t>2007</w:t>
            </w:r>
            <w:r w:rsidRPr="00EA0E3B">
              <w:rPr>
                <w:rFonts w:cs="Arial"/>
                <w:sz w:val="24"/>
                <w:szCs w:val="24"/>
              </w:rPr>
              <w:fldChar w:fldCharType="end"/>
            </w:r>
            <w:r>
              <w:rPr>
                <w:rFonts w:cs="Arial"/>
                <w:sz w:val="24"/>
                <w:szCs w:val="24"/>
              </w:rPr>
              <w:t>)</w:t>
            </w:r>
            <w:r w:rsidRPr="00EA0E3B">
              <w:rPr>
                <w:rFonts w:cs="Arial"/>
                <w:sz w:val="24"/>
                <w:szCs w:val="24"/>
              </w:rPr>
              <w:t xml:space="preserve"> </w:t>
            </w:r>
          </w:p>
        </w:tc>
      </w:tr>
      <w:tr w:rsidR="00F52779" w:rsidRPr="00EA0E3B" w:rsidTr="009B14B9">
        <w:trPr>
          <w:trHeight w:val="1134"/>
        </w:trPr>
        <w:tc>
          <w:tcPr>
            <w:tcW w:w="4962"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 xml:space="preserve">Hydrogels of reticulated </w:t>
            </w:r>
          </w:p>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chitosan-oxalic acid</w:t>
            </w:r>
          </w:p>
        </w:tc>
        <w:tc>
          <w:tcPr>
            <w:tcW w:w="1701"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 xml:space="preserve">110.7 </w:t>
            </w:r>
          </w:p>
        </w:tc>
        <w:tc>
          <w:tcPr>
            <w:tcW w:w="3260"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45 ºC, pH=4</w:t>
            </w:r>
          </w:p>
        </w:tc>
        <w:tc>
          <w:tcPr>
            <w:tcW w:w="4079"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Pr>
                <w:rFonts w:cs="Arial"/>
                <w:sz w:val="24"/>
                <w:szCs w:val="24"/>
              </w:rPr>
              <w:fldChar w:fldCharType="begin" w:fldLock="1"/>
            </w:r>
            <w:r>
              <w:rPr>
                <w:rFonts w:cs="Arial"/>
                <w:sz w:val="24"/>
                <w:szCs w:val="24"/>
              </w:rPr>
              <w:instrText>ADDIN CSL_CITATION {"citationItems":[{"id":"ITEM-1","itemData":{"DOI":"https://doi.org/10.1016/j.reactfunctpolym.2020.104699","ISSN":"1381-5148","abstract":"Cross-linked oxalic acid/chitosan hydrogels (ChOxb) were synthesized, characterized and tested for the adsorption of azo-dyes (Reactive Red 195 RR195) in contaminated wastewater; this novel biodegradable material was highly efficient. SEM-EDS and N2 adsorption/desorption were used to analyze specific area; FTIR-ATR spectra evidenced electrostatic interactions between protonated amino groups of chitosan and oxalate ions (intensity decrease and shift of amide-II band). Adsorption performance in batch assays showed a maximum percentage of removal of 90.6%, at pH = 4 (initial dye concentration of 300 mg.L−1). The maximum adsorption capacity (Qm) at pH = 4 was 110.7 mg.g−1, positioning ChOxb as one of the most efficient adsorption materials. Oxalic acid (natural organic acid) is an eco-friendly cross-linking agent that reduced swelling and improved chemical stability of ChOxb at low pH = 2.5. Redlich-Peterson adsorption isotherm presented the best fit; adsorption thermodynamic parameters were evaluated. Mixed surface reaction and diffusion-controlled kinetic model was the equation that best fitted kinetic data. FTIR-ATR, SEM-EDS and Z-potential showed electrostatic interactions between dye and amino groups of ChOxb; ChOxd can be reused without losing adsorption capacity and competitive electrostatic interactions between ChOxb-nitrate were observed. This new bio-material is an excellent alternative for the removal of RR195, improving Qm with better structural and functional properties.","author":[{"dropping-particle":"","family":"Pérez-Calderón","given":"John","non-dropping-particle":"","parse-names":false,"suffix":""},{"dropping-particle":"","family":"Santos M","given":"Victoria","non-dropping-particle":"","parse-names":false,"suffix":""},{"dropping-particle":"","family":"Zaritzky","given":"Noemí","non-dropping-particle":"","parse-names":false,"suffix":""}],"container-title":"Reactive and Functional Polymers","id":"ITEM-1","issued":{"date-parts":[["2020"]]},"page":"104699","title":"Synthesis, characterization and application of cross-linked chitosan/oxalic acid hydrogels to improve azo dye (Reactive Red 195) adsorption","type":"article-journal"},"uris":["http://www.mendeley.com/documents/?uuid=5a1a181e-ccb4-4b25-b851-57a06fb33ae7"]}],"mendeley":{"formattedCitation":"(Pérez-Calderón et al. 2020)","manualFormatting":"Pérez-Calderón et al.,(2020)","plainTextFormattedCitation":"(Pérez-Calderón et al. 2020)","previouslyFormattedCitation":"(Pérez-Calderón et al., 2020)"},"properties":{"noteIndex":0},"schema":"https://github.com/citation-style-language/schema/raw/master/csl-citation.json"}</w:instrText>
            </w:r>
            <w:r>
              <w:rPr>
                <w:rFonts w:cs="Arial"/>
                <w:sz w:val="24"/>
                <w:szCs w:val="24"/>
              </w:rPr>
              <w:fldChar w:fldCharType="separate"/>
            </w:r>
            <w:r w:rsidRPr="00EA0E3B">
              <w:rPr>
                <w:rFonts w:cs="Arial"/>
                <w:noProof/>
                <w:sz w:val="24"/>
                <w:szCs w:val="24"/>
              </w:rPr>
              <w:t>Pérez-Calderón et al.,</w:t>
            </w:r>
            <w:r>
              <w:rPr>
                <w:rFonts w:cs="Arial"/>
                <w:noProof/>
                <w:sz w:val="24"/>
                <w:szCs w:val="24"/>
              </w:rPr>
              <w:t>(</w:t>
            </w:r>
            <w:r w:rsidRPr="00EA0E3B">
              <w:rPr>
                <w:rFonts w:cs="Arial"/>
                <w:noProof/>
                <w:sz w:val="24"/>
                <w:szCs w:val="24"/>
              </w:rPr>
              <w:t>2020)</w:t>
            </w:r>
            <w:r>
              <w:rPr>
                <w:rFonts w:cs="Arial"/>
                <w:sz w:val="24"/>
                <w:szCs w:val="24"/>
              </w:rPr>
              <w:fldChar w:fldCharType="end"/>
            </w:r>
          </w:p>
        </w:tc>
      </w:tr>
      <w:tr w:rsidR="00F52779" w:rsidRPr="00EA0E3B" w:rsidTr="009B14B9">
        <w:trPr>
          <w:trHeight w:val="1134"/>
        </w:trPr>
        <w:tc>
          <w:tcPr>
            <w:tcW w:w="4962"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TiO</w:t>
            </w:r>
            <w:r w:rsidRPr="00EA0E3B">
              <w:rPr>
                <w:rFonts w:cs="Arial"/>
                <w:sz w:val="24"/>
                <w:szCs w:val="24"/>
                <w:vertAlign w:val="subscript"/>
              </w:rPr>
              <w:t>2</w:t>
            </w:r>
            <w:r w:rsidRPr="00EA0E3B">
              <w:rPr>
                <w:rFonts w:cs="Arial"/>
                <w:sz w:val="24"/>
                <w:szCs w:val="24"/>
              </w:rPr>
              <w:t xml:space="preserve"> Nanoparticles</w:t>
            </w:r>
          </w:p>
        </w:tc>
        <w:tc>
          <w:tcPr>
            <w:tcW w:w="1701"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87</w:t>
            </w:r>
          </w:p>
        </w:tc>
        <w:tc>
          <w:tcPr>
            <w:tcW w:w="3260"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30 ºC, pH=3</w:t>
            </w:r>
          </w:p>
        </w:tc>
        <w:tc>
          <w:tcPr>
            <w:tcW w:w="4079" w:type="dxa"/>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fldChar w:fldCharType="begin" w:fldLock="1"/>
            </w:r>
            <w:r>
              <w:rPr>
                <w:rFonts w:cs="Arial"/>
                <w:sz w:val="24"/>
                <w:szCs w:val="24"/>
              </w:rPr>
              <w:instrText>ADDIN CSL_CITATION {"citationItems":[{"id":"ITEM-1","itemData":{"DOI":"10.1016/j.jhazmat.2009.05.045","ISBN":"0304-3894","ISSN":"03043894","PMID":"19540670","abstract":"Nanoparticles of TiO2 were synthesized and characterized by XRD, BET, TG/DTA and TEM measurements. The commercial azo dye Reactive Red 195 (RR195) was selected as a model dye in order to examine the adsorption capacity of TiO2 at room temperature, under dark conditions. It was demonstrated that RR195 could be efficiently adsorbed in aqueous suspension of TiO2. A study on the effects of various parameters like initial pH, concentration of dye and concentration of adsorbent has been carried out in order to find optimum adsorption conditions. The optimum pH of sorption was 3. Substantial reduction of COD, besides removal of colour, was also achieved. The experimental data were analyzed by the Langmuir and Freundlich adsorption models. Equilibrium data fitted very well with the Langmuir model signifying the energetic homogeneity of TiO2 surface adsorption sites. At the temperature of 30 ??C, the maximum monolayer adsorption capacity obtained from the Langmuir model is ???87 mg/g (pH 3.0). Kinetic studies were carried out and showed a rapid sorption of dye in the first 30 min while equilibrium was reached at 1 h. Three kinetic adsorption models were used to describe the kinetics data, the pseudo-first-order model, the pseudo-second-order model and the intraparticle diffusion model. The sorption kinetics of dye was best described by the pseudo-second-order kinetic model. ?? 2009.","author":[{"dropping-particle":"","family":"Belessi","given":"V.","non-dropping-particle":"","parse-names":false,"suffix":""},{"dropping-particle":"","family":"Romanos","given":"G.","non-dropping-particle":"","parse-names":false,"suffix":""},{"dropping-particle":"","family":"Boukos","given":"N.","non-dropping-particle":"","parse-names":false,"suffix":""},{"dropping-particle":"","family":"Lambropoulou","given":"D.","non-dropping-particle":"","parse-names":false,"suffix":""},{"dropping-particle":"","family":"Trapalis","given":"C.","non-dropping-particle":"","parse-names":false,"suffix":""}],"container-title":"Journal of Hazardous Materials","id":"ITEM-1","issue":"2-3","issued":{"date-parts":[["2009"]]},"page":"836-844","title":"Removal of Reactive Red 195 from aqueous solutions by adsorption on the surface of TiO2 nanoparticles","type":"article-journal","volume":"170"},"uris":["http://www.mendeley.com/documents/?uuid=f07674f4-95e6-4114-a5d9-8e3fac6c1779"]}],"mendeley":{"formattedCitation":"(Belessi et al. 2009)","manualFormatting":"Belessi et al., (2009","plainTextFormattedCitation":"(Belessi et al. 2009)","previouslyFormattedCitation":"(Belessi et al., 2009)"},"properties":{"noteIndex":0},"schema":"https://github.com/citation-style-language/schema/raw/master/csl-citation.json"}</w:instrText>
            </w:r>
            <w:r w:rsidRPr="00EA0E3B">
              <w:rPr>
                <w:rFonts w:cs="Arial"/>
                <w:sz w:val="24"/>
                <w:szCs w:val="24"/>
              </w:rPr>
              <w:fldChar w:fldCharType="separate"/>
            </w:r>
            <w:r w:rsidRPr="00EA0E3B">
              <w:rPr>
                <w:rFonts w:cs="Arial"/>
                <w:noProof/>
                <w:sz w:val="24"/>
                <w:szCs w:val="24"/>
              </w:rPr>
              <w:t xml:space="preserve">Belessi et al., </w:t>
            </w:r>
            <w:r>
              <w:rPr>
                <w:rFonts w:cs="Arial"/>
                <w:noProof/>
                <w:sz w:val="24"/>
                <w:szCs w:val="24"/>
              </w:rPr>
              <w:t>(</w:t>
            </w:r>
            <w:r w:rsidRPr="00EA0E3B">
              <w:rPr>
                <w:rFonts w:cs="Arial"/>
                <w:noProof/>
                <w:sz w:val="24"/>
                <w:szCs w:val="24"/>
              </w:rPr>
              <w:t>2009</w:t>
            </w:r>
            <w:r w:rsidRPr="00EA0E3B">
              <w:rPr>
                <w:rFonts w:cs="Arial"/>
                <w:sz w:val="24"/>
                <w:szCs w:val="24"/>
              </w:rPr>
              <w:fldChar w:fldCharType="end"/>
            </w:r>
            <w:r>
              <w:rPr>
                <w:rFonts w:cs="Arial"/>
                <w:sz w:val="24"/>
                <w:szCs w:val="24"/>
              </w:rPr>
              <w:t>)</w:t>
            </w:r>
            <w:r w:rsidRPr="00EA0E3B">
              <w:rPr>
                <w:rFonts w:cs="Arial"/>
                <w:sz w:val="24"/>
                <w:szCs w:val="24"/>
              </w:rPr>
              <w:t xml:space="preserve"> </w:t>
            </w:r>
            <w:r w:rsidRPr="00EA0E3B">
              <w:rPr>
                <w:sz w:val="24"/>
                <w:szCs w:val="24"/>
              </w:rPr>
              <w:t xml:space="preserve"> </w:t>
            </w:r>
          </w:p>
        </w:tc>
      </w:tr>
      <w:tr w:rsidR="00F52779" w:rsidRPr="00EA0E3B" w:rsidTr="009B14B9">
        <w:trPr>
          <w:trHeight w:val="1134"/>
        </w:trPr>
        <w:tc>
          <w:tcPr>
            <w:tcW w:w="4962" w:type="dxa"/>
            <w:tcBorders>
              <w:bottom w:val="single" w:sz="18" w:space="0" w:color="auto"/>
            </w:tcBorders>
            <w:shd w:val="clear" w:color="auto" w:fill="auto"/>
            <w:vAlign w:val="center"/>
          </w:tcPr>
          <w:p w:rsidR="00F52779" w:rsidRPr="00EA0E3B" w:rsidRDefault="00F52779" w:rsidP="009B14B9">
            <w:pPr>
              <w:autoSpaceDE w:val="0"/>
              <w:autoSpaceDN w:val="0"/>
              <w:adjustRightInd w:val="0"/>
              <w:spacing w:after="0" w:line="240" w:lineRule="auto"/>
              <w:jc w:val="center"/>
              <w:rPr>
                <w:rFonts w:cs="Arial"/>
                <w:sz w:val="24"/>
                <w:szCs w:val="24"/>
              </w:rPr>
            </w:pPr>
            <w:r w:rsidRPr="00EA0E3B">
              <w:rPr>
                <w:rFonts w:cs="Arial"/>
                <w:sz w:val="24"/>
                <w:szCs w:val="24"/>
              </w:rPr>
              <w:t>Chitosan  beads particles</w:t>
            </w:r>
          </w:p>
          <w:p w:rsidR="00F52779" w:rsidRPr="00EA0E3B" w:rsidRDefault="00F52779" w:rsidP="009B14B9">
            <w:pPr>
              <w:autoSpaceDE w:val="0"/>
              <w:autoSpaceDN w:val="0"/>
              <w:adjustRightInd w:val="0"/>
              <w:spacing w:after="0" w:line="240" w:lineRule="auto"/>
              <w:jc w:val="center"/>
              <w:rPr>
                <w:rFonts w:cs="Arial"/>
                <w:sz w:val="24"/>
                <w:szCs w:val="24"/>
              </w:rPr>
            </w:pPr>
            <w:r w:rsidRPr="00EA0E3B">
              <w:rPr>
                <w:rFonts w:cs="Arial"/>
                <w:sz w:val="24"/>
                <w:szCs w:val="24"/>
              </w:rPr>
              <w:t xml:space="preserve"> (Hydrogels)</w:t>
            </w:r>
          </w:p>
        </w:tc>
        <w:tc>
          <w:tcPr>
            <w:tcW w:w="1701" w:type="dxa"/>
            <w:tcBorders>
              <w:bottom w:val="single" w:sz="18" w:space="0" w:color="auto"/>
            </w:tcBorders>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82.1</w:t>
            </w:r>
          </w:p>
        </w:tc>
        <w:tc>
          <w:tcPr>
            <w:tcW w:w="3260" w:type="dxa"/>
            <w:tcBorders>
              <w:bottom w:val="single" w:sz="18" w:space="0" w:color="auto"/>
            </w:tcBorders>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t>25ºC, pH=4</w:t>
            </w:r>
          </w:p>
        </w:tc>
        <w:tc>
          <w:tcPr>
            <w:tcW w:w="4079" w:type="dxa"/>
            <w:tcBorders>
              <w:bottom w:val="single" w:sz="18" w:space="0" w:color="auto"/>
            </w:tcBorders>
            <w:shd w:val="clear" w:color="auto" w:fill="auto"/>
            <w:vAlign w:val="center"/>
          </w:tcPr>
          <w:p w:rsidR="00F52779" w:rsidRPr="00EA0E3B" w:rsidRDefault="00F52779" w:rsidP="009B14B9">
            <w:pPr>
              <w:widowControl w:val="0"/>
              <w:spacing w:after="0" w:line="240" w:lineRule="auto"/>
              <w:jc w:val="center"/>
              <w:rPr>
                <w:rFonts w:cs="Arial"/>
                <w:sz w:val="24"/>
                <w:szCs w:val="24"/>
              </w:rPr>
            </w:pPr>
            <w:r w:rsidRPr="00EA0E3B">
              <w:rPr>
                <w:rFonts w:cs="Arial"/>
                <w:sz w:val="24"/>
                <w:szCs w:val="24"/>
              </w:rPr>
              <w:fldChar w:fldCharType="begin" w:fldLock="1"/>
            </w:r>
            <w:r>
              <w:rPr>
                <w:rFonts w:cs="Arial"/>
                <w:sz w:val="24"/>
                <w:szCs w:val="24"/>
              </w:rPr>
              <w:instrText>ADDIN CSL_CITATION {"citationItems":[{"id":"ITEM-1","itemData":{"DOI":"10.1016/j.jece.2018.10.039","ISSN":"2213-3437","author":[{"dropping-particle":"","family":"Pérez-Calderón","given":"John","non-dropping-particle":"","parse-names":false,"suffix":""},{"dropping-particle":"V","family":"Santos","given":"María","non-dropping-particle":"","parse-names":false,"suffix":""},{"dropping-particle":"","family":"Zaritzky","given":"Noemí","non-dropping-particle":"","parse-names":false,"suffix":""}],"container-title":"Journal of Environmental Chemical Engineering","id":"ITEM-1","issue":"5","issued":{"date-parts":[["2018"]]},"page":"6749-6760","publisher":"Elsevier","title":"Reactive Red 195 dye removal using chitosan coacervated particles as bio-sorbent: Analysis of kinetics, equilibrium and adsorption mechanisms","type":"article-journal","volume":"6"},"uris":["http://www.mendeley.com/documents/?uuid=1fd7019f-b46a-43dd-bdf0-b9bf46c14c85"]}],"mendeley":{"formattedCitation":"(Pérez-Calderón et al. 2018)","manualFormatting":"Pérez-Calderón et al., (2018","plainTextFormattedCitation":"(Pérez-Calderón et al. 2018)","previouslyFormattedCitation":"(Pérez-Calderón et al., 2018)"},"properties":{"noteIndex":0},"schema":"https://github.com/citation-style-language/schema/raw/master/csl-citation.json"}</w:instrText>
            </w:r>
            <w:r w:rsidRPr="00EA0E3B">
              <w:rPr>
                <w:rFonts w:cs="Arial"/>
                <w:sz w:val="24"/>
                <w:szCs w:val="24"/>
              </w:rPr>
              <w:fldChar w:fldCharType="separate"/>
            </w:r>
            <w:r w:rsidRPr="00EA0E3B">
              <w:rPr>
                <w:rFonts w:cs="Arial"/>
                <w:noProof/>
                <w:sz w:val="24"/>
                <w:szCs w:val="24"/>
              </w:rPr>
              <w:t xml:space="preserve">Pérez-Calderón et al., </w:t>
            </w:r>
            <w:r>
              <w:rPr>
                <w:rFonts w:cs="Arial"/>
                <w:noProof/>
                <w:sz w:val="24"/>
                <w:szCs w:val="24"/>
              </w:rPr>
              <w:t>(</w:t>
            </w:r>
            <w:r w:rsidRPr="00EA0E3B">
              <w:rPr>
                <w:rFonts w:cs="Arial"/>
                <w:noProof/>
                <w:sz w:val="24"/>
                <w:szCs w:val="24"/>
              </w:rPr>
              <w:t>2018</w:t>
            </w:r>
            <w:r w:rsidRPr="00EA0E3B">
              <w:rPr>
                <w:rFonts w:cs="Arial"/>
                <w:sz w:val="24"/>
                <w:szCs w:val="24"/>
              </w:rPr>
              <w:fldChar w:fldCharType="end"/>
            </w:r>
            <w:r>
              <w:rPr>
                <w:rFonts w:cs="Arial"/>
                <w:sz w:val="24"/>
                <w:szCs w:val="24"/>
              </w:rPr>
              <w:t>)</w:t>
            </w:r>
            <w:r w:rsidRPr="00EA0E3B">
              <w:rPr>
                <w:rFonts w:cs="Arial"/>
                <w:sz w:val="24"/>
                <w:szCs w:val="24"/>
              </w:rPr>
              <w:t xml:space="preserve"> </w:t>
            </w:r>
          </w:p>
        </w:tc>
      </w:tr>
    </w:tbl>
    <w:p w:rsidR="00175208" w:rsidRPr="00F52779" w:rsidRDefault="00175208" w:rsidP="00F52779">
      <w:bookmarkStart w:id="0" w:name="_GoBack"/>
      <w:bookmarkEnd w:id="0"/>
    </w:p>
    <w:sectPr w:rsidR="00175208" w:rsidRPr="00F52779" w:rsidSect="00175208">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10"/>
    <w:rsid w:val="00130BB4"/>
    <w:rsid w:val="001360CB"/>
    <w:rsid w:val="00160B20"/>
    <w:rsid w:val="00175208"/>
    <w:rsid w:val="002B4810"/>
    <w:rsid w:val="003D51D7"/>
    <w:rsid w:val="003F3F45"/>
    <w:rsid w:val="00403C2D"/>
    <w:rsid w:val="005A750F"/>
    <w:rsid w:val="00611199"/>
    <w:rsid w:val="006572FF"/>
    <w:rsid w:val="006B79FA"/>
    <w:rsid w:val="008509B7"/>
    <w:rsid w:val="009B14B9"/>
    <w:rsid w:val="00A00DD0"/>
    <w:rsid w:val="00A60B7F"/>
    <w:rsid w:val="00B22BDD"/>
    <w:rsid w:val="00B522CA"/>
    <w:rsid w:val="00B9039C"/>
    <w:rsid w:val="00C0527B"/>
    <w:rsid w:val="00C44F52"/>
    <w:rsid w:val="00EA0E3B"/>
    <w:rsid w:val="00EF4941"/>
    <w:rsid w:val="00F2654A"/>
    <w:rsid w:val="00F52779"/>
    <w:rsid w:val="00FD34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AA54-925F-447B-B9A7-892F2E7B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10"/>
    <w:pPr>
      <w:spacing w:line="480" w:lineRule="auto"/>
      <w:jc w:val="both"/>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0BB4"/>
    <w:pPr>
      <w:spacing w:before="100" w:beforeAutospacing="1" w:after="100" w:afterAutospacing="1" w:line="240" w:lineRule="auto"/>
      <w:jc w:val="left"/>
    </w:pPr>
    <w:rPr>
      <w:rFonts w:ascii="Times New Roman" w:eastAsia="Times New Roman" w:hAnsi="Times New Roman" w:cs="Times New Roman"/>
      <w:sz w:val="24"/>
      <w:szCs w:val="24"/>
      <w:lang w:val="es-AR" w:eastAsia="es-AR"/>
    </w:rPr>
  </w:style>
  <w:style w:type="table" w:styleId="Tablaconcuadrcula">
    <w:name w:val="Table Grid"/>
    <w:basedOn w:val="Tablanormal"/>
    <w:uiPriority w:val="39"/>
    <w:rsid w:val="0013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572FF"/>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4826">
      <w:bodyDiv w:val="1"/>
      <w:marLeft w:val="0"/>
      <w:marRight w:val="0"/>
      <w:marTop w:val="0"/>
      <w:marBottom w:val="0"/>
      <w:divBdr>
        <w:top w:val="none" w:sz="0" w:space="0" w:color="auto"/>
        <w:left w:val="none" w:sz="0" w:space="0" w:color="auto"/>
        <w:bottom w:val="none" w:sz="0" w:space="0" w:color="auto"/>
        <w:right w:val="none" w:sz="0" w:space="0" w:color="auto"/>
      </w:divBdr>
    </w:div>
    <w:div w:id="1143935332">
      <w:bodyDiv w:val="1"/>
      <w:marLeft w:val="0"/>
      <w:marRight w:val="0"/>
      <w:marTop w:val="0"/>
      <w:marBottom w:val="0"/>
      <w:divBdr>
        <w:top w:val="none" w:sz="0" w:space="0" w:color="auto"/>
        <w:left w:val="none" w:sz="0" w:space="0" w:color="auto"/>
        <w:bottom w:val="none" w:sz="0" w:space="0" w:color="auto"/>
        <w:right w:val="none" w:sz="0" w:space="0" w:color="auto"/>
      </w:divBdr>
    </w:div>
    <w:div w:id="17497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EF80-F75E-4036-94DE-44318660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R_1</cp:lastModifiedBy>
  <cp:revision>6</cp:revision>
  <dcterms:created xsi:type="dcterms:W3CDTF">2021-02-10T17:19:00Z</dcterms:created>
  <dcterms:modified xsi:type="dcterms:W3CDTF">2021-02-10T17:29:00Z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http://www.zotero.org/styles/chemosphere</vt:lpwstr>
  </property>
  <property fmtid="{D5CDD505-2E9C-101B-9397-08002B2CF9AE}" pid="5" name="Mendeley Recent Style Name 1_1">
    <vt:lpwstr>Chemosphere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http://www.zotero.org/styles/environmental-science-and-pollution-research</vt:lpwstr>
  </property>
  <property fmtid="{D5CDD505-2E9C-101B-9397-08002B2CF9AE}" pid="9" name="Mendeley Recent Style Name 3_1">
    <vt:lpwstr>Environmental Science and Pollution Research</vt:lpwstr>
  </property>
  <property fmtid="{D5CDD505-2E9C-101B-9397-08002B2CF9AE}" pid="10" name="Mendeley Recent Style Id 4_1">
    <vt:lpwstr>http://www.zotero.org/styles/environmental-technology-and-innovation</vt:lpwstr>
  </property>
  <property fmtid="{D5CDD505-2E9C-101B-9397-08002B2CF9AE}" pid="11" name="Mendeley Recent Style Name 4_1">
    <vt:lpwstr>Environmental Technology &amp; Innovation</vt:lpwstr>
  </property>
  <property fmtid="{D5CDD505-2E9C-101B-9397-08002B2CF9AE}" pid="12" name="Mendeley Recent Style Id 5_1">
    <vt:lpwstr>http://www.zotero.org/styles/food-and-bioproducts-processing</vt:lpwstr>
  </property>
  <property fmtid="{D5CDD505-2E9C-101B-9397-08002B2CF9AE}" pid="13" name="Mendeley Recent Style Name 5_1">
    <vt:lpwstr>Food and Bioproducts Processing</vt:lpwstr>
  </property>
  <property fmtid="{D5CDD505-2E9C-101B-9397-08002B2CF9AE}" pid="14" name="Mendeley Recent Style Id 6_1">
    <vt:lpwstr>http://www.zotero.org/styles/international-journal-of-biological-macromolecules</vt:lpwstr>
  </property>
  <property fmtid="{D5CDD505-2E9C-101B-9397-08002B2CF9AE}" pid="15" name="Mendeley Recent Style Name 6_1">
    <vt:lpwstr>International Journal of Biological Macromolecules</vt:lpwstr>
  </property>
  <property fmtid="{D5CDD505-2E9C-101B-9397-08002B2CF9AE}" pid="16" name="Mendeley Recent Style Id 7_1">
    <vt:lpwstr>http://www.zotero.org/styles/journal-of-industrial-and-engineering-chemistry</vt:lpwstr>
  </property>
  <property fmtid="{D5CDD505-2E9C-101B-9397-08002B2CF9AE}" pid="17" name="Mendeley Recent Style Name 7_1">
    <vt:lpwstr>Journal of Industrial and Engineering Chemistry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953d4d7f-e925-3eaa-a973-d46c6f15d870</vt:lpwstr>
  </property>
  <property fmtid="{D5CDD505-2E9C-101B-9397-08002B2CF9AE}" pid="24" name="Mendeley Citation Style_1">
    <vt:lpwstr>http://www.zotero.org/styles/environmental-science-and-pollution-research</vt:lpwstr>
  </property>
</Properties>
</file>