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11" w:rsidRPr="009A1C82" w:rsidRDefault="00C94C11" w:rsidP="00C94C11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1"/>
        </w:rPr>
      </w:pPr>
      <w:r w:rsidRPr="009A1C82">
        <w:rPr>
          <w:rFonts w:ascii="Times New Roman" w:hAnsi="Times New Roman"/>
          <w:b/>
          <w:bCs/>
          <w:szCs w:val="21"/>
        </w:rPr>
        <w:t>upplemental Table 1</w:t>
      </w:r>
      <w:r w:rsidRPr="009A1C82">
        <w:rPr>
          <w:rFonts w:ascii="Times New Roman" w:hAnsi="Times New Roman"/>
          <w:szCs w:val="21"/>
        </w:rPr>
        <w:t xml:space="preserve"> </w:t>
      </w:r>
      <w:r w:rsidRPr="009A1C82">
        <w:rPr>
          <w:rFonts w:ascii="Times New Roman" w:hAnsi="Times New Roman"/>
          <w:kern w:val="0"/>
          <w:szCs w:val="21"/>
        </w:rPr>
        <w:t>Genomic information of the candidate SNPs</w:t>
      </w:r>
    </w:p>
    <w:tbl>
      <w:tblPr>
        <w:tblW w:w="0" w:type="auto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418"/>
        <w:gridCol w:w="850"/>
        <w:gridCol w:w="1843"/>
        <w:gridCol w:w="1559"/>
      </w:tblGrid>
      <w:tr w:rsidR="00C94C11" w:rsidRPr="000C2BA1" w:rsidTr="00C12348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Gene (chromosome)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SNP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Major/Minor allele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SNP function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 xml:space="preserve">MAF in 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1000genomics database</w:t>
            </w:r>
          </w:p>
        </w:tc>
      </w:tr>
      <w:tr w:rsidR="00C94C11" w:rsidRPr="000C2BA1" w:rsidTr="00C12348">
        <w:tc>
          <w:tcPr>
            <w:tcW w:w="2557" w:type="dxa"/>
            <w:tcBorders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GCKR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(2p23)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rs1260326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T/C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Nonsynonymous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50%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TFDP2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(3q23)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rs347685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A/C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unknown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25.7%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SHROOM3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(4q21.1)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rs17319721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10.5%</w:t>
            </w:r>
          </w:p>
        </w:tc>
      </w:tr>
      <w:tr w:rsidR="00C94C11" w:rsidRPr="000C2BA1" w:rsidTr="00C12348">
        <w:trPr>
          <w:trHeight w:val="64"/>
        </w:trPr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DAB2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(5p13)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rs11959928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T/A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15.2%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SLC34A1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(5q35)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rs6420094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A/G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18.6%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VEGFA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(6p12)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rs881858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A/G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Intergenic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19.5%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PIP5K1B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(9q13)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rs4744712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C/A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50.0%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DACH1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(13q22)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rs626277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C/A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11.9%</w:t>
            </w:r>
          </w:p>
        </w:tc>
      </w:tr>
      <w:tr w:rsidR="00C94C11" w:rsidRPr="000C2BA1" w:rsidTr="00C12348">
        <w:trPr>
          <w:trHeight w:val="66"/>
        </w:trPr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UBE2Q2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(15q24.2)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rs1394125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7.62%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SLC7A9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(19q13.1)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rs12460876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32.4%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ANXA9/LASS2</w:t>
            </w:r>
            <w:r w:rsidRPr="000C2BA1">
              <w:rPr>
                <w:rFonts w:ascii="Times New Roman" w:hAnsi="Times New Roman"/>
                <w:szCs w:val="21"/>
              </w:rPr>
              <w:t>(1q21.3)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rs267734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T/C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Upstream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2.86%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RKAG2</w:t>
            </w:r>
            <w:r w:rsidRPr="000C2BA1">
              <w:rPr>
                <w:rFonts w:ascii="Times New Roman" w:hAnsi="Times New Roman"/>
                <w:szCs w:val="21"/>
              </w:rPr>
              <w:t xml:space="preserve"> 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(7q36.1)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rs7805747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G/A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0%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UMOD</w:t>
            </w:r>
            <w:r w:rsidRPr="000C2BA1">
              <w:rPr>
                <w:rFonts w:ascii="Times New Roman" w:hAnsi="Times New Roman"/>
                <w:szCs w:val="21"/>
              </w:rPr>
              <w:t xml:space="preserve"> 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(16p12.3)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rs12917707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G/T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Upstream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0.95%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 xml:space="preserve">ALMS1/NAT8 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(2p13)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rs13538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A/G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Nonsynonymous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0.48%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ATXN2/SH2B3</w:t>
            </w:r>
            <w:r w:rsidRPr="000C2BA1">
              <w:rPr>
                <w:rFonts w:ascii="Times New Roman" w:hAnsi="Times New Roman"/>
                <w:szCs w:val="21"/>
              </w:rPr>
              <w:t xml:space="preserve"> 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>(12q24.1)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rs653178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T/C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0.48%</w:t>
            </w:r>
          </w:p>
        </w:tc>
      </w:tr>
      <w:tr w:rsidR="00C94C11" w:rsidRPr="000C2BA1" w:rsidTr="00C12348">
        <w:tc>
          <w:tcPr>
            <w:tcW w:w="2557" w:type="dxa"/>
            <w:tcBorders>
              <w:top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9010D">
              <w:rPr>
                <w:rFonts w:ascii="Times New Roman" w:hAnsi="Times New Roman"/>
                <w:i/>
                <w:kern w:val="0"/>
                <w:szCs w:val="21"/>
              </w:rPr>
              <w:t>PRKAG2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 xml:space="preserve"> (7q36.1)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rs7805747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Intronic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0%</w:t>
            </w:r>
          </w:p>
        </w:tc>
      </w:tr>
    </w:tbl>
    <w:p w:rsidR="00C94C11" w:rsidRDefault="00C94C11" w:rsidP="00C94C11">
      <w:pPr>
        <w:adjustRightInd w:val="0"/>
        <w:snapToGrid w:val="0"/>
        <w:rPr>
          <w:rFonts w:ascii="Times New Roman" w:hAnsi="Times New Roman"/>
          <w:kern w:val="0"/>
          <w:szCs w:val="21"/>
        </w:rPr>
        <w:sectPr w:rsidR="00C94C11" w:rsidSect="00E508D9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4C11" w:rsidRDefault="00C94C11" w:rsidP="00C94C11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1"/>
        </w:rPr>
      </w:pPr>
      <w:r w:rsidRPr="005E5E2C">
        <w:rPr>
          <w:rFonts w:ascii="Times New Roman" w:hAnsi="Times New Roman"/>
          <w:b/>
          <w:bCs/>
          <w:szCs w:val="21"/>
        </w:rPr>
        <w:lastRenderedPageBreak/>
        <w:t xml:space="preserve">Supplemental Table 2 </w:t>
      </w:r>
      <w:r w:rsidRPr="00AD39EC">
        <w:rPr>
          <w:rFonts w:ascii="Times New Roman" w:hAnsi="Times New Roman"/>
          <w:szCs w:val="21"/>
        </w:rPr>
        <w:t xml:space="preserve">Association analyses between </w:t>
      </w:r>
      <w:r w:rsidRPr="00AD39EC">
        <w:rPr>
          <w:rFonts w:ascii="Times New Roman" w:hAnsi="Times New Roman" w:hint="eastAsia"/>
          <w:kern w:val="0"/>
          <w:szCs w:val="21"/>
        </w:rPr>
        <w:t>CKD</w:t>
      </w:r>
      <w:r w:rsidRPr="00AD39EC">
        <w:rPr>
          <w:rFonts w:ascii="Times New Roman" w:hAnsi="Times New Roman"/>
          <w:kern w:val="0"/>
          <w:szCs w:val="21"/>
        </w:rPr>
        <w:t xml:space="preserve"> </w:t>
      </w:r>
      <w:r w:rsidRPr="00AD39EC">
        <w:rPr>
          <w:rFonts w:ascii="Times New Roman" w:hAnsi="Times New Roman" w:hint="eastAsia"/>
          <w:kern w:val="0"/>
          <w:szCs w:val="21"/>
        </w:rPr>
        <w:t>risk</w:t>
      </w:r>
      <w:r w:rsidRPr="00AD39EC">
        <w:rPr>
          <w:rFonts w:ascii="Times New Roman" w:hAnsi="Times New Roman"/>
          <w:kern w:val="0"/>
          <w:szCs w:val="21"/>
        </w:rPr>
        <w:t xml:space="preserve"> factor related loci and GFR levels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842"/>
        <w:gridCol w:w="709"/>
        <w:gridCol w:w="1559"/>
        <w:gridCol w:w="1418"/>
        <w:gridCol w:w="1417"/>
        <w:gridCol w:w="1418"/>
        <w:gridCol w:w="709"/>
      </w:tblGrid>
      <w:tr w:rsidR="00C94C11" w:rsidRPr="000C2BA1" w:rsidTr="00C94C11"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50" w:firstLine="10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 levels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4C11" w:rsidRPr="000C2BA1" w:rsidTr="00C94C11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0C2BA1">
              <w:rPr>
                <w:rFonts w:ascii="Times New Roman" w:hAnsi="Times New Roman"/>
                <w:b/>
                <w:bCs/>
                <w:color w:val="000000"/>
                <w:szCs w:val="21"/>
              </w:rPr>
              <w:t>Gene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SNPs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Pathway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Clinical significance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MAF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50" w:firstLine="10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Maj/ Het/ Min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Major hom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Hetero-zygote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Minor hom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2B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</w:p>
        </w:tc>
      </w:tr>
      <w:tr w:rsidR="00C94C11" w:rsidRPr="000C2BA1" w:rsidTr="00C94C11"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LPA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rs6415084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11.0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79.1/20.0/1.0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87.23±10.57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87.06±10.42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88.26±7.57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0.886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APOA5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rs662799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-1131T&gt;C,</w:t>
            </w:r>
            <w:r w:rsidRPr="000C2BA1">
              <w:rPr>
                <w:rFonts w:ascii="Times New Roman" w:hAnsi="Times New Roman"/>
                <w:szCs w:val="21"/>
              </w:rPr>
              <w:t xml:space="preserve"> 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Statin-response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51.7/40.3/8.0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87.50±10.49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87.11±10.36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85.93±11.52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0.240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LIPG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rs34474737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49.4/42.1/8.4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87.21±10.11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87.34±10.72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86.48±12.20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0.661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CETP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rs5882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Val422Ile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28.3/49.2/22.5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87.05±10.09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86.93±10.66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87.95±10.67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0.274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APOE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rs10402271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70.9/26.8/2.3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87.19±10.89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87.49±9.49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85.97±9.86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0.651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PCSK9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rs11206510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87.9/11.7/0.4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87.42±10.23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86.12±12.19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91.54±9.26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0.143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PCSK9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rs2479409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Upstream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50.3/40.6/9.1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87.29±10.57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87.09±10.55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87.41±10.23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0.909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HMGCR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rs12916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3'-UTR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28.5/48.2/23.3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87.20±10.38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86.96±10.79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88.04±10.00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0.231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HMGCR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rs3846663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28.5/48.2/23.3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87.17±10.36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86.97±10.77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88.19±9.78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0.146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26554">
              <w:rPr>
                <w:rFonts w:ascii="Times New Roman" w:hAnsi="Times New Roman"/>
                <w:i/>
                <w:szCs w:val="21"/>
              </w:rPr>
              <w:t>TIMD4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rs1501908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>Lipid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54.7/37.9/7.5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87.22±10.52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87.46±10.28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86.79±11.61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0.778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rs1205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Inflammation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3'-UTR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33.1/48.6/18.3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87.50±10.39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87.20±10.69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86.46±10.59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0.366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CRP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rs3093059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Inflammation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Upstream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68.5/28.7/2.7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87.35±10.35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87.00±10.82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86.47±11.65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0.725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IL6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rs1800796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Inflammation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52.3/39.7/8.0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87.47±10.39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87.08±10.65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86.77±10.43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0.645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IL6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rs1524107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Inflammation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51.2/40.1/8.7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87.55±10.41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87.05±10.53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86.53±11.19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0.444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TNF-α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rs1799724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Inflammation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-857C</w:t>
            </w: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&gt;</w:t>
            </w:r>
            <w:r w:rsidRPr="000C2BA1">
              <w:rPr>
                <w:rFonts w:ascii="Times New Roman" w:hAnsi="Times New Roman"/>
                <w:kern w:val="0"/>
                <w:szCs w:val="21"/>
              </w:rPr>
              <w:t xml:space="preserve"> 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73.4/24.9/1.7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87.25±10.43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87.43±10.58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85.48±13.12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0.626</w:t>
            </w:r>
          </w:p>
        </w:tc>
      </w:tr>
      <w:tr w:rsidR="00C94C11" w:rsidRPr="000C2BA1" w:rsidTr="00C94C11">
        <w:trPr>
          <w:trHeight w:val="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ALDH2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rs671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szCs w:val="21"/>
              </w:rPr>
              <w:t xml:space="preserve">Acetaldehyde </w:t>
            </w: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Glu504Lys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Drug-response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58.3/36.7/5.0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86.98±10.77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87.71±10.25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87.30±9.26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0.398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FTO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rs9939609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Energy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76.2/22.5/1.3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87.34±10.70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86.72±10.08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86.15±10.85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0.526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XYLB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rs17118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Energy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Missense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53.4/40.4/6.2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87.08±10.29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87.46±10.80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87.54±10.33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0.745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E72E93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GCK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rs4607517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Glucose metabolism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58.4/36.9/4.7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86.76±10.98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87.84±9.79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87.83±10.49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0.104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26554">
              <w:rPr>
                <w:rFonts w:ascii="Times New Roman" w:hAnsi="Times New Roman"/>
                <w:i/>
                <w:szCs w:val="21"/>
              </w:rPr>
              <w:t>NPPB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rs198389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‑381T&gt;C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74.9/23.1/2.0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86.97±10.53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87.86±10.80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87.35±8.80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0.332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72E93">
              <w:rPr>
                <w:rFonts w:ascii="Times New Roman" w:hAnsi="Times New Roman"/>
                <w:i/>
                <w:szCs w:val="21"/>
              </w:rPr>
              <w:t>MTHFR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rs1801131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Glu429Ala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gene deficiency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69.1/28.1/2.8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87.01±10.87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87.76±9.63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87.90±9.40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0.374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MTHFR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rs1801133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Ala222Val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Gene deficiency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30.4/50.4/19.2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87.59±10.69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87.08±10.55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86.83±10.39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0.530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MTR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rs1805087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Asp919Gly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79.8/19.1/1.1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87.31±10.66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86.99±10.04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87.85±4.94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0.857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MTRR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rs1801394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Ile22Met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Drug-response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56.8/36.9/6.3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87.30±10.75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86.94±10.46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88.91±7.89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0.194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MTRR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rs2287780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Arg415TCys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68.3/28.5/3.2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87.20±10.44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87.50±10.64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86.29±9.71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0.681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MTRR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rs162036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Lys350Arg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65.6/31.7/2.7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87.56±10.33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86.83±10.76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85.15±11.48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0.153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BHMT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rs3733890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blood pressure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Arg239Gln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49.4/41.5/9.1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87.68±10.05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87.05±10.66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86.52±11.25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0.311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CYP19A1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rs10046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Estrogen biosynthesis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30.4/48.7/21.0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87.13±10.03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87.37±10.81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87.25±10.47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0.922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CYP19A1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rs1008805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Estrogen biosynthesis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48.6/42.1/9.3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87.64±10.13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86.88±10.97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87.05±9.88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0.340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26554">
              <w:rPr>
                <w:rFonts w:ascii="Times New Roman" w:hAnsi="Times New Roman"/>
                <w:i/>
                <w:szCs w:val="21"/>
              </w:rPr>
              <w:t>ESR1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rs722208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Transcription factor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29.5/47.9/22.6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87.59±10.12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87.35±10.58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86.77±10.51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0.493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ESR1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rs2175898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Transcription factor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31.1/50.1/18.8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16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87.72±9.94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87.17±10.35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86.91±11.48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0.485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ESR2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rs1256031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Transcription factor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31.8/50.9/17.3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87.41±10.91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87.19±10.31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86.82±10.73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0.749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HNF1A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rs7953249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Transcription factor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28.7/48.4/22.8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87.70±10.38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87.08±10.42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87.02±10.74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0.516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CDKN2A/B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rs2383207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Regulate gene expression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45.1/44.5/10.4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87.58±10.22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87.00±10.82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87.16±9.75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0.545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VDR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rs2228570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Calcium homeostasis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Initiator codon, Drug-response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29.7/48.6/21.7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86.85±10.83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87.29±10.50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87.49±9.98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0.637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VDR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rs1544410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Calcium homeostasis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90.1/9.7/0.2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87.27±10.48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87.34±10.62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89.59±11.79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0.905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MMP12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rs660599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szCs w:val="21"/>
              </w:rPr>
              <w:t>Tissue remodeling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Intergenic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74.4/23.1/2.5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87.31±10.69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87.33±9.65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87.32±10.13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1.000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ACTN3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rs1815739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szCs w:val="21"/>
              </w:rPr>
              <w:t>Muscle contraction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Stop gained,</w:t>
            </w:r>
          </w:p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Gene deficiency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36.6/47.0/16.4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86.80±10.46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87.38±10.62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87.39±10.62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0.535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C1orf112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rs10489177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Catalyze methyl transfer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Upstream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67.7/28.4/3.9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87.29±10.54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86.99±10.58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88.60±8.64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0.489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E26554">
              <w:rPr>
                <w:rFonts w:ascii="Times New Roman" w:hAnsi="Times New Roman"/>
                <w:i/>
                <w:szCs w:val="21"/>
              </w:rPr>
              <w:t>ABO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rs505922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Catalyze carbohydrate transfer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27.7/50.8/21.6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87.50±10.06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86.94±10.83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87.61±10.27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0.486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lastRenderedPageBreak/>
              <w:t>FOXO3A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rs2802292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szCs w:val="21"/>
              </w:rPr>
              <w:t>Transcriptional activator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kern w:val="0"/>
                <w:szCs w:val="21"/>
              </w:rPr>
              <w:t>Intron variant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55.8/38.4/5.8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86.91±10.82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87.53±10.33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88.28±8.72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0.297</w:t>
            </w:r>
          </w:p>
        </w:tc>
      </w:tr>
      <w:tr w:rsidR="00C94C11" w:rsidRPr="000C2BA1" w:rsidTr="00C94C11"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C11" w:rsidRPr="00731D1C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szCs w:val="21"/>
              </w:rPr>
            </w:pPr>
            <w:r w:rsidRPr="00731D1C">
              <w:rPr>
                <w:rFonts w:ascii="Times New Roman" w:hAnsi="Times New Roman"/>
                <w:i/>
                <w:szCs w:val="21"/>
              </w:rPr>
              <w:t>SIRT6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rs352493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DNA repair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Ser46Thr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26.9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53.3/39.5/7.1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87.56±10.25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4C11" w:rsidRPr="000C2BA1" w:rsidRDefault="00C94C11" w:rsidP="00C12348">
            <w:pPr>
              <w:autoSpaceDE w:val="0"/>
              <w:autoSpaceDN w:val="0"/>
              <w:adjustRightInd w:val="0"/>
              <w:snapToGrid w:val="0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86.92±10.89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86.28±10.51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C11" w:rsidRPr="000C2BA1" w:rsidRDefault="00C94C11" w:rsidP="00C12348">
            <w:pPr>
              <w:adjustRightInd w:val="0"/>
              <w:snapToGri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C2BA1">
              <w:rPr>
                <w:rFonts w:ascii="Times New Roman" w:hAnsi="Times New Roman"/>
                <w:color w:val="000000"/>
                <w:kern w:val="0"/>
                <w:szCs w:val="21"/>
              </w:rPr>
              <w:t>0.280</w:t>
            </w:r>
          </w:p>
        </w:tc>
      </w:tr>
    </w:tbl>
    <w:p w:rsidR="001023AB" w:rsidRDefault="00C94C11"/>
    <w:sectPr w:rsidR="001023AB" w:rsidSect="0060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058202"/>
      <w:docPartObj>
        <w:docPartGallery w:val="Page Numbers (Bottom of Page)"/>
        <w:docPartUnique/>
      </w:docPartObj>
    </w:sdtPr>
    <w:sdtEndPr/>
    <w:sdtContent>
      <w:p w:rsidR="00E465D1" w:rsidRDefault="00C94C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1F4A">
          <w:rPr>
            <w:noProof/>
            <w:lang w:val="zh-CN"/>
          </w:rPr>
          <w:t>7</w:t>
        </w:r>
        <w:r>
          <w:fldChar w:fldCharType="end"/>
        </w:r>
      </w:p>
    </w:sdtContent>
  </w:sdt>
  <w:p w:rsidR="00E465D1" w:rsidRDefault="00C94C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11"/>
    <w:rsid w:val="00605025"/>
    <w:rsid w:val="008B0A05"/>
    <w:rsid w:val="00934A60"/>
    <w:rsid w:val="00C94C11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21F320-97D9-3640-8EBC-2B5CB918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11"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C11"/>
    <w:rPr>
      <w:rFonts w:ascii="DengXian" w:eastAsia="DengXian" w:hAnsi="DengXian" w:cs="Times New Roman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C94C1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Morrigan</dc:creator>
  <cp:keywords/>
  <dc:description/>
  <cp:lastModifiedBy>Ada Morrigan</cp:lastModifiedBy>
  <cp:revision>1</cp:revision>
  <dcterms:created xsi:type="dcterms:W3CDTF">2020-04-28T17:05:00Z</dcterms:created>
  <dcterms:modified xsi:type="dcterms:W3CDTF">2020-04-28T17:06:00Z</dcterms:modified>
</cp:coreProperties>
</file>