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2502535"/>
            <wp:effectExtent l="0" t="0" r="3175" b="12065"/>
            <wp:docPr id="1" name="图片 1" descr="公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7925" cy="3210560"/>
            <wp:effectExtent l="0" t="0" r="3175" b="8890"/>
            <wp:docPr id="2" name="图片 2" descr="超几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超几何"/>
                    <pic:cNvPicPr>
                      <a:picLocks noChangeAspect="1"/>
                    </pic:cNvPicPr>
                  </pic:nvPicPr>
                  <pic:blipFill>
                    <a:blip r:embed="rId5"/>
                    <a:srcRect l="18423" t="8627" r="15894" b="2284"/>
                    <a:stretch>
                      <a:fillRect/>
                    </a:stretch>
                  </pic:blipFill>
                  <pic:spPr>
                    <a:xfrm>
                      <a:off x="0" y="0"/>
                      <a:ext cx="4987925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262626"/>
          <w:spacing w:val="0"/>
          <w:sz w:val="24"/>
          <w:szCs w:val="24"/>
        </w:rPr>
        <w:t xml:space="preserve">Supplementary Fig. </w:t>
      </w: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262626"/>
          <w:spacing w:val="0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262626"/>
          <w:spacing w:val="0"/>
          <w:sz w:val="24"/>
          <w:szCs w:val="24"/>
        </w:rPr>
        <w:t>Hypergeometric test of metabolites with Kegg annotation information</w:t>
      </w: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262626"/>
          <w:spacing w:val="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262626"/>
          <w:spacing w:val="0"/>
          <w:sz w:val="24"/>
          <w:szCs w:val="24"/>
        </w:rPr>
        <w:t>N</w:t>
      </w:r>
      <w:r>
        <w:rPr>
          <w:rFonts w:hint="default" w:ascii="Times New Roman" w:hAnsi="Times New Roman" w:eastAsia="宋体" w:cs="Times New Roman"/>
          <w:i w:val="0"/>
          <w:caps w:val="0"/>
          <w:color w:val="262626"/>
          <w:spacing w:val="0"/>
          <w:sz w:val="24"/>
          <w:szCs w:val="24"/>
        </w:rPr>
        <w:t xml:space="preserve"> is the number of metabolites with KEGG annotation information in all metabolites, 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262626"/>
          <w:spacing w:val="0"/>
          <w:sz w:val="24"/>
          <w:szCs w:val="24"/>
        </w:rPr>
        <w:t>n</w:t>
      </w:r>
      <w:r>
        <w:rPr>
          <w:rFonts w:hint="default" w:ascii="Times New Roman" w:hAnsi="Times New Roman" w:eastAsia="宋体" w:cs="Times New Roman"/>
          <w:i w:val="0"/>
          <w:caps w:val="0"/>
          <w:color w:val="262626"/>
          <w:spacing w:val="0"/>
          <w:sz w:val="24"/>
          <w:szCs w:val="24"/>
        </w:rPr>
        <w:t xml:space="preserve"> is the number of differential metabolisms in 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262626"/>
          <w:spacing w:val="0"/>
          <w:sz w:val="24"/>
          <w:szCs w:val="24"/>
        </w:rPr>
        <w:t>N</w:t>
      </w:r>
      <w:r>
        <w:rPr>
          <w:rFonts w:hint="default" w:ascii="Times New Roman" w:hAnsi="Times New Roman" w:eastAsia="宋体" w:cs="Times New Roman"/>
          <w:i w:val="0"/>
          <w:caps w:val="0"/>
          <w:color w:val="262626"/>
          <w:spacing w:val="0"/>
          <w:sz w:val="24"/>
          <w:szCs w:val="24"/>
        </w:rPr>
        <w:t xml:space="preserve">, 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262626"/>
          <w:spacing w:val="0"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i w:val="0"/>
          <w:caps w:val="0"/>
          <w:color w:val="262626"/>
          <w:spacing w:val="0"/>
          <w:sz w:val="24"/>
          <w:szCs w:val="24"/>
        </w:rPr>
        <w:t xml:space="preserve"> is the number of metabolites annotated to a KEGG entry in all metabolites, and 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262626"/>
          <w:spacing w:val="0"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i w:val="0"/>
          <w:caps w:val="0"/>
          <w:color w:val="262626"/>
          <w:spacing w:val="0"/>
          <w:sz w:val="24"/>
          <w:szCs w:val="24"/>
        </w:rPr>
        <w:t xml:space="preserve"> is an annotation to a KEGG entry Number of differential metabolites</w:t>
      </w:r>
      <w:r>
        <w:rPr>
          <w:rFonts w:hint="eastAsia" w:ascii="Times New Roman" w:hAnsi="Times New Roman" w:eastAsia="宋体" w:cs="Times New Roman"/>
          <w:i w:val="0"/>
          <w:caps w:val="0"/>
          <w:color w:val="262626"/>
          <w:spacing w:val="0"/>
          <w:sz w:val="24"/>
          <w:szCs w:val="24"/>
          <w:lang w:val="en-US" w:eastAsia="zh-CN"/>
        </w:rPr>
        <w:t>; T</w:t>
      </w:r>
      <w:r>
        <w:rPr>
          <w:rFonts w:hint="default" w:ascii="Times New Roman" w:hAnsi="Times New Roman" w:eastAsia="宋体" w:cs="Times New Roman"/>
          <w:i w:val="0"/>
          <w:caps w:val="0"/>
          <w:color w:val="262626"/>
          <w:spacing w:val="0"/>
          <w:sz w:val="24"/>
          <w:szCs w:val="24"/>
        </w:rPr>
        <w:t>he threshold value is P-value≤0.05</w:t>
      </w:r>
      <w:r>
        <w:rPr>
          <w:rFonts w:hint="eastAsia" w:ascii="Times New Roman" w:hAnsi="Times New Roman" w:eastAsia="宋体" w:cs="Times New Roman"/>
          <w:i w:val="0"/>
          <w:caps w:val="0"/>
          <w:color w:val="262626"/>
          <w:spacing w:val="0"/>
          <w:sz w:val="24"/>
          <w:szCs w:val="24"/>
          <w:lang w:val="en-US" w:eastAsia="zh-CN"/>
        </w:rPr>
        <w:t>; KEGG significance analysis can determine the main biological functions of differential metabolites.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35FDA"/>
    <w:rsid w:val="3303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2020-02-25T07:35:00Z</dcterms:created>
  <dc:creator>姑苏城外</dc:creator>
  <cp:lastModifiedBy>姑苏城外</cp:lastModifiedBy>
  <dcterms:modified xsi:type="dcterms:W3CDTF">2020-02-25T07:42:01Z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