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CA" w:rsidRDefault="00855A52" w:rsidP="007525F1">
      <w:pPr>
        <w:pStyle w:val="Paragraph"/>
        <w:spacing w:line="480" w:lineRule="auto"/>
        <w:ind w:firstLine="0"/>
        <w:rPr>
          <w:b/>
          <w:color w:val="000000" w:themeColor="text1"/>
        </w:rPr>
      </w:pPr>
      <w:bookmarkStart w:id="0" w:name="_Hlk22916808"/>
      <w:bookmarkEnd w:id="0"/>
      <w:r>
        <w:rPr>
          <w:b/>
          <w:color w:val="000000" w:themeColor="text1"/>
        </w:rPr>
        <w:t>Supplementary Materials</w:t>
      </w:r>
    </w:p>
    <w:p w:rsidR="002900CA" w:rsidRPr="007525F1" w:rsidRDefault="00D62124" w:rsidP="007525F1">
      <w:pPr>
        <w:spacing w:line="48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8"/>
        </w:rPr>
      </w:pPr>
      <w:r w:rsidRPr="007525F1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8"/>
        </w:rPr>
        <w:t>Methods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  <w:t xml:space="preserve">Overexpression of HNF4α in UMSCs 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HNF4α cDNA was cloned from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human umbilical cord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 xml:space="preserve">MSCs into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pHelper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 xml:space="preserve"> 1.0 plasmid. </w:t>
      </w:r>
      <w:bookmarkStart w:id="1" w:name="OLE_LINK8"/>
      <w:bookmarkStart w:id="2" w:name="OLE_LINK9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The UMSCs were then infected with lentiviral particles</w:t>
      </w:r>
      <w:bookmarkEnd w:id="1"/>
      <w:bookmarkEnd w:id="2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 xml:space="preserve"> of HNF4α-GFP or GFP (used as a control). Overexpression of HNF4α was confirmed by confocal laser-scanning microscope and Western blotting. 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  <w:t xml:space="preserve">Western blot 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</w:pPr>
      <w:r>
        <w:rPr>
          <w:rStyle w:val="fontstyle01"/>
        </w:rPr>
        <w:t xml:space="preserve">Western blotting was performed to analyze the protein expression levels. The cell extracts were isolated from cultured hepatocytes using NE-PER Nuclear and Cytoplasmic Extraction Reagents (Thermo Fisher scientific, Waltham, MA, USA). The primary antibodies against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HNF4α (Abcam), and β-actin as control (Sigma-Aldrich) were utilized.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  <w:t>Harvest of conditioned medium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Microcapsules of human hepatocytes, with or without HNF4α-UMSCs or UMSCs were cultured for four days, and the conditioned medium (CM) was harvested and stored at -80 °C.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8"/>
        </w:rPr>
        <w:t>RNA extraction and real-time PCR</w:t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RNA extraction and real-time PCR were performed as described previously.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fldChar w:fldCharType="begin"/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instrText xml:space="preserve"> ADDIN EN.CITE &lt;EndNote&gt;&lt;Cite&gt;&lt;Author&gt;Kong&lt;/Author&gt;&lt;Year&gt;2018&lt;/Year&gt;&lt;RecNum&gt;79&lt;/RecNum&gt;&lt;DisplayText&gt;&lt;style face="superscript"&gt;18&lt;/style&gt;&lt;/DisplayText&gt;&lt;record&gt;&lt;rec-number&gt;79&lt;/rec-number&gt;&lt;foreign-keys&gt;&lt;key app="EN" db-id="f9rat9st3990f6esawypfzznaa9pdswt2vvv" timestamp="1545811733"&gt;79&lt;/key&gt;&lt;/foreign-keys&gt;&lt;ref-type name="Journal Article"&gt;17&lt;/ref-type&gt;&lt;contributors&gt;&lt;authors&gt;&lt;author&gt;Kong, D.&lt;/author&gt;&lt;author&gt;Hua, X.&lt;/author&gt;&lt;author&gt;Qin, T.&lt;/author&gt;&lt;author&gt;Zhang, J.&lt;/author&gt;&lt;author&gt;He, K.&lt;/author&gt;&lt;author&gt;Xia, Q.&lt;/author&gt;&lt;/authors&gt;&lt;/contributors&gt;&lt;auth-address&gt;Department of Liver Surgery, Renji Hospital, School of Medicine, Shanghai Jiao Tong University, Shanghai, China.&amp;#xD;Center of Organ Transplantation, The Affiliated Hospital of Qingdao University and Institute of Transplant Medicine, Qingdao University, Qingdao, China.&lt;/auth-address&gt;&lt;titles&gt;&lt;title&gt;Inhibition of glycogen synthase kinase 3beta protects liver against ischemia/reperfusion injury by activating 5&amp;apos; adenosine monophosphate-activated protein kinase-mediated autophagy&lt;/title&gt;&lt;secondary-title&gt;Hepatol Res&lt;/secondary-title&gt;&lt;alt-title&gt;Hepatology research : the official journal of the Japan Society of Hepatology&lt;/alt-title&gt;&lt;/titles&gt;&lt;periodical&gt;&lt;full-title&gt;Hepatol Res&lt;/full-title&gt;&lt;abbr-1&gt;Hepatology research : the official journal of the Japan Society of Hepatology&lt;/abbr-1&gt;&lt;/periodical&gt;&lt;alt-periodical&gt;&lt;full-title&gt;Hepatol Res&lt;/full-title&gt;&lt;abbr-1&gt;Hepatology research : the official journal of the Japan Society of Hepatology&lt;/abbr-1&gt;&lt;/alt-periodical&gt;&lt;edition&gt;2018/12/20&lt;/edition&gt;&lt;keywords&gt;&lt;keyword&gt;Ampk&lt;/keyword&gt;&lt;keyword&gt;GSK3beta&lt;/keyword&gt;&lt;keyword&gt;autophagy&lt;/keyword&gt;&lt;keyword&gt;hepatic ischemia/reperfusion injury&lt;/keyword&gt;&lt;/keywords&gt;&lt;dates&gt;&lt;year&gt;2018&lt;/year&gt;&lt;pub-dates&gt;&lt;date&gt;Nov 22&lt;/date&gt;&lt;/pub-dates&gt;&lt;/dates&gt;&lt;isbn&gt;1386-6346 (Print)&amp;#xD;1386-6346&lt;/isbn&gt;&lt;accession-num&gt;30565807&lt;/accession-num&gt;&lt;urls&gt;&lt;/urls&gt;&lt;electronic-resource-num&gt;10.1111/hepr.13287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fldChar w:fldCharType="separate"/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18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The PCR primers are listed in Table S1.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liver RNA was extracted using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TRIzol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(Takara, Tokyo, Japan) reagent according to the manufacturer’s instructions. The cDNA was synthesized with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PrimeScript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RT reagent Kit (Takara).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-PCR was performed using CFX 96 q-PCR system (BIO-RAD, Hercules, CA, USA). A SYBR RT-PCR kit (Takara) was used for quantitative real-time PCR analysis. The relative expression levels for target gene were normalized by β-actin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or GAPDH. </w:t>
      </w:r>
    </w:p>
    <w:p w:rsidR="00D62124" w:rsidRDefault="00D62124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D62124" w:rsidRDefault="00D62124">
      <w:pPr>
        <w:spacing w:line="48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7525F1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lastRenderedPageBreak/>
        <w:t>S</w:t>
      </w:r>
      <w:r w:rsidRPr="007525F1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upplementary figure and table legends</w:t>
      </w:r>
    </w:p>
    <w:p w:rsidR="00804044" w:rsidRPr="00804044" w:rsidRDefault="00804044" w:rsidP="00804044">
      <w:pPr>
        <w:spacing w:line="480" w:lineRule="auto"/>
        <w:jc w:val="center"/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5269230" cy="2000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CA" w:rsidRDefault="00855A52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Primary hepatocytes were co-encapsulated with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HNF4α-UMSCs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at a ratio of 10:1, 5:1, and 2.5:1. Measurement of albumin secretion and urea synthesis in the supernatant of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microcapsules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in different groups at varied time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points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900CA" w:rsidRDefault="00804044" w:rsidP="00804044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504950" cy="1417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CA" w:rsidRDefault="00855A52" w:rsidP="00142BCB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Figure S</w:t>
      </w:r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Representative M</w:t>
      </w:r>
      <w:r>
        <w:rPr>
          <w:rFonts w:ascii="Times New Roman" w:eastAsia="宋体" w:hAnsi="Times New Roman" w:cs="Times New Roman" w:hint="eastAsia"/>
          <w:i/>
          <w:color w:val="000000" w:themeColor="text1"/>
          <w:kern w:val="0"/>
          <w:sz w:val="24"/>
          <w:szCs w:val="24"/>
        </w:rPr>
        <w:t>φ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(CD11b</w:t>
      </w:r>
      <w:r w:rsidR="00142BC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high</w:t>
      </w:r>
      <w:r w:rsidR="00142BC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,</w:t>
      </w:r>
      <w:r w:rsidR="00142BC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F4/80</w:t>
      </w:r>
      <w:r w:rsidR="00142BC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high) profiles of liver non</w:t>
      </w:r>
      <w:r w:rsidR="00142BC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-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granulocytes from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liver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tissue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after 6 h of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 xml:space="preserve">LPS/D-gal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treatment.</w:t>
      </w:r>
    </w:p>
    <w:p w:rsidR="002900CA" w:rsidRPr="00D62124" w:rsidRDefault="00804044" w:rsidP="00804044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42560" cy="3086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79" b="59479"/>
                    <a:stretch/>
                  </pic:blipFill>
                  <pic:spPr bwMode="auto">
                    <a:xfrm>
                      <a:off x="0" y="0"/>
                      <a:ext cx="52425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0CA" w:rsidRDefault="00855A52">
      <w:pPr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>Table S1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: The PCR primers used in the study.</w:t>
      </w:r>
    </w:p>
    <w:p w:rsidR="002900CA" w:rsidRDefault="00804044" w:rsidP="00804044">
      <w:pPr>
        <w:jc w:val="center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bookmarkStart w:id="3" w:name="_GoBack"/>
      <w:bookmarkEnd w:id="3"/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5265420" cy="5829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CA" w:rsidRPr="00D62124" w:rsidRDefault="00855A52" w:rsidP="00142BCB">
      <w:pPr>
        <w:widowControl/>
        <w:spacing w:after="0" w:line="48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Table S2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 xml:space="preserve">: The relative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intensities of signals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were listed in the below table and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the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list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of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 xml:space="preserve">relative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intensities of signals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growth factors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 xml:space="preserve">in the CMs of HNF4α-UMSCs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and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8"/>
        </w:rPr>
        <w:t>UMSCs which are significantly high in HNF4α-UMSCs groups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Heat map is shown in the right panel.</w:t>
      </w:r>
    </w:p>
    <w:p w:rsidR="002900CA" w:rsidRDefault="002900CA">
      <w:pPr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sectPr w:rsidR="002900CA">
      <w:pgSz w:w="11906" w:h="16838"/>
      <w:pgMar w:top="567" w:right="99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1B" w:rsidRDefault="00BF071B" w:rsidP="00D62124">
      <w:pPr>
        <w:spacing w:after="0" w:line="240" w:lineRule="auto"/>
      </w:pPr>
      <w:r>
        <w:separator/>
      </w:r>
    </w:p>
  </w:endnote>
  <w:endnote w:type="continuationSeparator" w:id="0">
    <w:p w:rsidR="00BF071B" w:rsidRDefault="00BF071B" w:rsidP="00D6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07517017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1B" w:rsidRDefault="00BF071B" w:rsidP="00D62124">
      <w:pPr>
        <w:spacing w:after="0" w:line="240" w:lineRule="auto"/>
      </w:pPr>
      <w:r>
        <w:separator/>
      </w:r>
    </w:p>
  </w:footnote>
  <w:footnote w:type="continuationSeparator" w:id="0">
    <w:p w:rsidR="00BF071B" w:rsidRDefault="00BF071B" w:rsidP="00D6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9"/>
    <w:rsid w:val="00084875"/>
    <w:rsid w:val="000D6C43"/>
    <w:rsid w:val="0010395D"/>
    <w:rsid w:val="00142BCB"/>
    <w:rsid w:val="001A1C1B"/>
    <w:rsid w:val="002900CA"/>
    <w:rsid w:val="002D69DA"/>
    <w:rsid w:val="003F27FC"/>
    <w:rsid w:val="0047248C"/>
    <w:rsid w:val="004A7746"/>
    <w:rsid w:val="004E6307"/>
    <w:rsid w:val="005471E6"/>
    <w:rsid w:val="00595AB9"/>
    <w:rsid w:val="005F0E44"/>
    <w:rsid w:val="00682E92"/>
    <w:rsid w:val="007525F1"/>
    <w:rsid w:val="007C4605"/>
    <w:rsid w:val="00804044"/>
    <w:rsid w:val="00855A52"/>
    <w:rsid w:val="00872B7E"/>
    <w:rsid w:val="00916C08"/>
    <w:rsid w:val="00961B9E"/>
    <w:rsid w:val="00A143C5"/>
    <w:rsid w:val="00A43A0A"/>
    <w:rsid w:val="00A45067"/>
    <w:rsid w:val="00A466B9"/>
    <w:rsid w:val="00A72541"/>
    <w:rsid w:val="00A72F8F"/>
    <w:rsid w:val="00AA2C61"/>
    <w:rsid w:val="00BA5BE2"/>
    <w:rsid w:val="00BB1850"/>
    <w:rsid w:val="00BC5F12"/>
    <w:rsid w:val="00BE275C"/>
    <w:rsid w:val="00BE34EF"/>
    <w:rsid w:val="00BF071B"/>
    <w:rsid w:val="00C10827"/>
    <w:rsid w:val="00C305DD"/>
    <w:rsid w:val="00C4039C"/>
    <w:rsid w:val="00D62124"/>
    <w:rsid w:val="00E16EBC"/>
    <w:rsid w:val="00E33933"/>
    <w:rsid w:val="00E550E5"/>
    <w:rsid w:val="00E8131F"/>
    <w:rsid w:val="00EF61F3"/>
    <w:rsid w:val="00F36078"/>
    <w:rsid w:val="43A4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F0FA"/>
  <w15:docId w15:val="{6E02D7EC-5451-4523-9E07-0FB9AE9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AdvOT07517017" w:hAnsi="AdvOT07517017"/>
      <w:color w:val="00000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/>
      <w:color w:val="auto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/>
      <w:color w:val="auto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Pr>
      <w:rFonts w:ascii="AdvOT07517017" w:hAnsi="AdvOT07517017"/>
      <w:color w:val="000000"/>
      <w:sz w:val="16"/>
      <w:szCs w:val="16"/>
    </w:rPr>
  </w:style>
  <w:style w:type="character" w:customStyle="1" w:styleId="a5">
    <w:name w:val="批注主题 字符"/>
    <w:basedOn w:val="a6"/>
    <w:link w:val="a3"/>
    <w:uiPriority w:val="99"/>
    <w:semiHidden/>
    <w:rPr>
      <w:rFonts w:ascii="AdvOT07517017" w:hAnsi="AdvOT07517017"/>
      <w:b/>
      <w:bCs/>
      <w:color w:val="000000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AdvOT07517017" w:hAnsi="AdvOT07517017"/>
      <w:color w:val="000000"/>
      <w:sz w:val="18"/>
      <w:szCs w:val="18"/>
    </w:rPr>
  </w:style>
  <w:style w:type="paragraph" w:customStyle="1" w:styleId="Paragraph">
    <w:name w:val="Paragraph"/>
    <w:basedOn w:val="a"/>
    <w:pPr>
      <w:widowControl/>
      <w:spacing w:before="120" w:after="0" w:line="240" w:lineRule="auto"/>
      <w:ind w:firstLine="72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2E4A4-1803-4050-976B-A8538968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3620</Characters>
  <Application>Microsoft Office Word</Application>
  <DocSecurity>0</DocSecurity>
  <Lines>30</Lines>
  <Paragraphs>8</Paragraphs>
  <ScaleCrop>false</ScaleCrop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 德富</dc:creator>
  <cp:lastModifiedBy>Chen Mo</cp:lastModifiedBy>
  <cp:revision>3</cp:revision>
  <dcterms:created xsi:type="dcterms:W3CDTF">2020-01-06T08:01:00Z</dcterms:created>
  <dcterms:modified xsi:type="dcterms:W3CDTF">2020-01-20T07:01:00Z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