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074F" w14:textId="6139ED76" w:rsidR="00784DF9" w:rsidRDefault="00784DF9" w:rsidP="00784DF9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Style w:val="a7"/>
          <w:rFonts w:ascii="Segoe UI" w:hAnsi="Segoe UI" w:cs="Segoe UI"/>
          <w:color w:val="263238"/>
          <w:szCs w:val="21"/>
        </w:rPr>
        <w:t xml:space="preserve">Article </w:t>
      </w:r>
      <w:r>
        <w:rPr>
          <w:rFonts w:ascii="Times New Roman" w:hAnsi="Times New Roman" w:cs="Times New Roman" w:hint="eastAsia"/>
          <w:b/>
          <w:bCs/>
          <w:sz w:val="22"/>
        </w:rPr>
        <w:t>T</w:t>
      </w:r>
      <w:r>
        <w:rPr>
          <w:rFonts w:ascii="Times New Roman" w:hAnsi="Times New Roman" w:cs="Times New Roman"/>
          <w:b/>
          <w:bCs/>
          <w:sz w:val="22"/>
        </w:rPr>
        <w:t xml:space="preserve">itle: </w:t>
      </w:r>
    </w:p>
    <w:p w14:paraId="3A276340" w14:textId="77777777" w:rsidR="00784DF9" w:rsidRPr="00A16859" w:rsidRDefault="00784DF9" w:rsidP="00784DF9">
      <w:pPr>
        <w:spacing w:line="360" w:lineRule="auto"/>
        <w:rPr>
          <w:rFonts w:ascii="Times New Roman" w:hAnsi="Times New Roman" w:cs="Times New Roman"/>
          <w:sz w:val="22"/>
        </w:rPr>
      </w:pPr>
      <w:r w:rsidRPr="00A16859">
        <w:rPr>
          <w:rFonts w:ascii="Times New Roman" w:hAnsi="Times New Roman" w:cs="Times New Roman"/>
          <w:sz w:val="22"/>
        </w:rPr>
        <w:t>Transcriptome and metabolome analyses reveal pathway</w:t>
      </w:r>
      <w:r>
        <w:rPr>
          <w:rFonts w:ascii="Times New Roman" w:hAnsi="Times New Roman" w:cs="Times New Roman"/>
          <w:sz w:val="22"/>
        </w:rPr>
        <w:t>s</w:t>
      </w:r>
      <w:r w:rsidRPr="00A16859">
        <w:rPr>
          <w:rFonts w:ascii="Times New Roman" w:hAnsi="Times New Roman" w:cs="Times New Roman"/>
          <w:sz w:val="22"/>
        </w:rPr>
        <w:t xml:space="preserve"> associated with fruit color</w:t>
      </w:r>
      <w:r>
        <w:rPr>
          <w:rFonts w:ascii="Times New Roman" w:hAnsi="Times New Roman" w:cs="Times New Roman"/>
          <w:sz w:val="22"/>
        </w:rPr>
        <w:t xml:space="preserve"> in plum </w:t>
      </w:r>
      <w:r w:rsidRPr="00A16859">
        <w:rPr>
          <w:rFonts w:ascii="Times New Roman" w:hAnsi="Times New Roman" w:cs="Times New Roman"/>
          <w:sz w:val="22"/>
        </w:rPr>
        <w:t>(</w:t>
      </w:r>
      <w:r w:rsidRPr="00942EB6">
        <w:rPr>
          <w:rFonts w:ascii="Times New Roman" w:hAnsi="Times New Roman" w:cs="Times New Roman"/>
          <w:i/>
          <w:iCs/>
          <w:sz w:val="22"/>
        </w:rPr>
        <w:t xml:space="preserve">Prunus </w:t>
      </w:r>
      <w:proofErr w:type="spellStart"/>
      <w:r w:rsidRPr="00942EB6">
        <w:rPr>
          <w:rFonts w:ascii="Times New Roman" w:hAnsi="Times New Roman" w:cs="Times New Roman"/>
          <w:i/>
          <w:iCs/>
          <w:sz w:val="22"/>
        </w:rPr>
        <w:t>salicina</w:t>
      </w:r>
      <w:proofErr w:type="spellEnd"/>
      <w:r w:rsidRPr="00942EB6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Pr="00942EB6">
        <w:rPr>
          <w:rFonts w:ascii="Times New Roman" w:hAnsi="Times New Roman" w:cs="Times New Roman"/>
          <w:i/>
          <w:iCs/>
          <w:sz w:val="22"/>
        </w:rPr>
        <w:t>Lindl</w:t>
      </w:r>
      <w:proofErr w:type="spellEnd"/>
      <w:r w:rsidRPr="00A16859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)</w:t>
      </w:r>
    </w:p>
    <w:p w14:paraId="4CB36929" w14:textId="0657B9E9" w:rsidR="00784DF9" w:rsidRDefault="00784DF9" w:rsidP="00784DF9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Style w:val="a7"/>
          <w:rFonts w:ascii="Segoe UI" w:hAnsi="Segoe UI" w:cs="Segoe UI"/>
          <w:color w:val="263238"/>
          <w:szCs w:val="21"/>
        </w:rPr>
        <w:t>Author list:</w:t>
      </w:r>
    </w:p>
    <w:p w14:paraId="5E5904CC" w14:textId="77777777" w:rsidR="00CB6D89" w:rsidRPr="00CB6D89" w:rsidRDefault="00CB6D89" w:rsidP="00CB6D89">
      <w:pPr>
        <w:widowControl/>
        <w:shd w:val="clear" w:color="auto" w:fill="FFFFFF"/>
        <w:spacing w:after="120"/>
        <w:jc w:val="left"/>
        <w:outlineLvl w:val="2"/>
        <w:rPr>
          <w:rFonts w:ascii="Times New Roman" w:hAnsi="Times New Roman" w:cs="Times New Roman"/>
          <w:sz w:val="22"/>
        </w:rPr>
      </w:pPr>
      <w:r w:rsidRPr="00CB6D89">
        <w:rPr>
          <w:rFonts w:ascii="Times New Roman" w:hAnsi="Times New Roman" w:cs="Times New Roman"/>
          <w:sz w:val="22"/>
        </w:rPr>
        <w:t>Affiliations</w:t>
      </w:r>
    </w:p>
    <w:p w14:paraId="2A4CD81A" w14:textId="77777777" w:rsidR="002D2FE2" w:rsidRDefault="009C68AF" w:rsidP="002D2FE2">
      <w:pPr>
        <w:spacing w:line="360" w:lineRule="auto"/>
        <w:rPr>
          <w:rFonts w:ascii="Times New Roman" w:hAnsi="Times New Roman" w:cs="Times New Roman"/>
          <w:sz w:val="22"/>
        </w:rPr>
      </w:pPr>
      <w:r w:rsidRPr="00602ECB">
        <w:rPr>
          <w:rFonts w:ascii="Times New Roman" w:hAnsi="Times New Roman" w:cs="Times New Roman"/>
          <w:sz w:val="22"/>
        </w:rPr>
        <w:t>Jilin Academy of Agricultural Sciences</w:t>
      </w:r>
      <w:r>
        <w:rPr>
          <w:rFonts w:ascii="Times New Roman" w:hAnsi="Times New Roman" w:cs="Times New Roman"/>
          <w:sz w:val="22"/>
        </w:rPr>
        <w:t>, Chang Chun, 130000,Chian</w:t>
      </w:r>
      <w:r w:rsidR="002D2FE2" w:rsidRPr="002D2FE2">
        <w:rPr>
          <w:rFonts w:ascii="Times New Roman" w:hAnsi="Times New Roman" w:cs="Times New Roman" w:hint="eastAsia"/>
          <w:sz w:val="22"/>
        </w:rPr>
        <w:t xml:space="preserve"> </w:t>
      </w:r>
    </w:p>
    <w:p w14:paraId="350E9229" w14:textId="77777777" w:rsidR="004422A2" w:rsidRPr="004422A2" w:rsidRDefault="004422A2" w:rsidP="004422A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4422A2">
        <w:rPr>
          <w:rFonts w:ascii="Times New Roman" w:hAnsi="Times New Roman" w:cs="Times New Roman"/>
          <w:sz w:val="22"/>
        </w:rPr>
        <w:t>Lei Chen &lt;chenleisofia@126.com&gt;,</w:t>
      </w:r>
    </w:p>
    <w:p w14:paraId="02543978" w14:textId="12FB9E9C" w:rsidR="004422A2" w:rsidRPr="004422A2" w:rsidRDefault="004422A2" w:rsidP="004422A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proofErr w:type="spellStart"/>
      <w:r w:rsidRPr="004422A2">
        <w:rPr>
          <w:rFonts w:ascii="Times New Roman" w:hAnsi="Times New Roman" w:cs="Times New Roman"/>
          <w:sz w:val="22"/>
        </w:rPr>
        <w:t>Xue</w:t>
      </w:r>
      <w:proofErr w:type="spellEnd"/>
      <w:r>
        <w:rPr>
          <w:rFonts w:ascii="Times New Roman" w:hAnsi="Times New Roman" w:cs="Times New Roman"/>
          <w:sz w:val="22"/>
        </w:rPr>
        <w:t>-</w:t>
      </w:r>
      <w:r w:rsidRPr="004422A2">
        <w:rPr>
          <w:rFonts w:ascii="Times New Roman" w:hAnsi="Times New Roman" w:cs="Times New Roman"/>
          <w:sz w:val="22"/>
        </w:rPr>
        <w:t>Song Wang &lt;997974495@qq.com&gt;,</w:t>
      </w:r>
    </w:p>
    <w:p w14:paraId="3DE7156E" w14:textId="77777777" w:rsidR="004422A2" w:rsidRPr="004422A2" w:rsidRDefault="004422A2" w:rsidP="004422A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4422A2">
        <w:rPr>
          <w:rFonts w:ascii="Times New Roman" w:hAnsi="Times New Roman" w:cs="Times New Roman"/>
          <w:sz w:val="22"/>
        </w:rPr>
        <w:t>Long Cui &lt;331070480@qq.com&gt;,</w:t>
      </w:r>
    </w:p>
    <w:p w14:paraId="3028152A" w14:textId="77777777" w:rsidR="004422A2" w:rsidRPr="004422A2" w:rsidRDefault="004422A2" w:rsidP="004422A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4422A2">
        <w:rPr>
          <w:rFonts w:ascii="Times New Roman" w:hAnsi="Times New Roman" w:cs="Times New Roman"/>
          <w:sz w:val="22"/>
        </w:rPr>
        <w:t>Yan-Bo Zhang (corresponding author) &lt;zybjlgs@126.com&gt;</w:t>
      </w:r>
    </w:p>
    <w:p w14:paraId="4EEBB829" w14:textId="7F558026" w:rsidR="00CB6D89" w:rsidRPr="00CB6D89" w:rsidRDefault="00CB6D89" w:rsidP="00ED3AC3">
      <w:pPr>
        <w:spacing w:line="360" w:lineRule="auto"/>
        <w:rPr>
          <w:rFonts w:ascii="Times New Roman" w:hAnsi="Times New Roman" w:cs="Times New Roman"/>
          <w:sz w:val="22"/>
        </w:rPr>
      </w:pPr>
      <w:r w:rsidRPr="00CB6D89">
        <w:rPr>
          <w:rFonts w:ascii="Times New Roman" w:hAnsi="Times New Roman" w:cs="Times New Roman"/>
          <w:sz w:val="22"/>
        </w:rPr>
        <w:t>Contributions</w:t>
      </w:r>
    </w:p>
    <w:p w14:paraId="65D2EDDA" w14:textId="16CFE421" w:rsidR="00CB6D89" w:rsidRPr="00CB6D89" w:rsidRDefault="00333165" w:rsidP="000000A3">
      <w:pPr>
        <w:spacing w:line="360" w:lineRule="auto"/>
        <w:rPr>
          <w:rFonts w:ascii="Times New Roman" w:hAnsi="Times New Roman" w:cs="Times New Roman"/>
          <w:sz w:val="22"/>
        </w:rPr>
      </w:pPr>
      <w:r w:rsidRPr="00AE4072">
        <w:rPr>
          <w:rFonts w:ascii="Times New Roman" w:hAnsi="Times New Roman" w:cs="Times New Roman"/>
          <w:sz w:val="22"/>
        </w:rPr>
        <w:t>L</w:t>
      </w:r>
      <w:r w:rsidR="00817D81" w:rsidRPr="00AE4072">
        <w:rPr>
          <w:rFonts w:ascii="Times New Roman" w:hAnsi="Times New Roman" w:cs="Times New Roman"/>
          <w:sz w:val="22"/>
        </w:rPr>
        <w:t>C</w:t>
      </w:r>
      <w:r w:rsidRPr="00AE4072">
        <w:rPr>
          <w:rFonts w:ascii="Times New Roman" w:hAnsi="Times New Roman" w:cs="Times New Roman"/>
          <w:sz w:val="22"/>
        </w:rPr>
        <w:t xml:space="preserve"> and YB</w:t>
      </w:r>
      <w:r w:rsidR="00817D81" w:rsidRPr="00AE4072">
        <w:rPr>
          <w:rFonts w:ascii="Times New Roman" w:hAnsi="Times New Roman" w:cs="Times New Roman"/>
          <w:sz w:val="22"/>
        </w:rPr>
        <w:t>Z</w:t>
      </w:r>
      <w:r w:rsidRPr="00AE4072">
        <w:rPr>
          <w:rFonts w:ascii="Times New Roman" w:hAnsi="Times New Roman" w:cs="Times New Roman"/>
          <w:sz w:val="22"/>
        </w:rPr>
        <w:t xml:space="preserve"> conceived and designed the experiment. XS</w:t>
      </w:r>
      <w:r w:rsidR="00817D81" w:rsidRPr="00AE4072">
        <w:rPr>
          <w:rFonts w:ascii="Times New Roman" w:hAnsi="Times New Roman" w:cs="Times New Roman"/>
          <w:sz w:val="22"/>
        </w:rPr>
        <w:t>W</w:t>
      </w:r>
      <w:r w:rsidRPr="00AE4072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AE4072">
        <w:rPr>
          <w:rFonts w:ascii="Times New Roman" w:hAnsi="Times New Roman" w:cs="Times New Roman"/>
          <w:sz w:val="22"/>
        </w:rPr>
        <w:t>Long</w:t>
      </w:r>
      <w:r w:rsidR="00817D81" w:rsidRPr="00AE4072">
        <w:rPr>
          <w:rFonts w:ascii="Times New Roman" w:hAnsi="Times New Roman" w:cs="Times New Roman"/>
          <w:sz w:val="22"/>
        </w:rPr>
        <w:t>C</w:t>
      </w:r>
      <w:proofErr w:type="spellEnd"/>
      <w:r w:rsidRPr="00AE4072">
        <w:rPr>
          <w:rFonts w:ascii="Times New Roman" w:hAnsi="Times New Roman" w:cs="Times New Roman"/>
          <w:sz w:val="22"/>
        </w:rPr>
        <w:t xml:space="preserve"> prepared sampling and figures. L</w:t>
      </w:r>
      <w:r w:rsidR="00817D81" w:rsidRPr="00AE4072">
        <w:rPr>
          <w:rFonts w:ascii="Times New Roman" w:hAnsi="Times New Roman" w:cs="Times New Roman"/>
          <w:sz w:val="22"/>
        </w:rPr>
        <w:t>C</w:t>
      </w:r>
      <w:r w:rsidRPr="00AE4072">
        <w:rPr>
          <w:rFonts w:ascii="Times New Roman" w:hAnsi="Times New Roman" w:cs="Times New Roman"/>
          <w:sz w:val="22"/>
        </w:rPr>
        <w:t xml:space="preserve"> </w:t>
      </w:r>
      <w:r w:rsidR="00AE4072" w:rsidRPr="00AE4072">
        <w:rPr>
          <w:rFonts w:ascii="Times New Roman" w:hAnsi="Times New Roman" w:cs="Times New Roman"/>
          <w:sz w:val="22"/>
        </w:rPr>
        <w:t>drafted the manuscript</w:t>
      </w:r>
      <w:r w:rsidRPr="00AE4072">
        <w:rPr>
          <w:rFonts w:ascii="Times New Roman" w:hAnsi="Times New Roman" w:cs="Times New Roman"/>
          <w:sz w:val="22"/>
        </w:rPr>
        <w:t xml:space="preserve"> with input from all authors. All authors read and approved the final version of the manuscript.</w:t>
      </w:r>
      <w:r w:rsidRPr="00AE4072">
        <w:rPr>
          <w:rFonts w:ascii="Times New Roman" w:hAnsi="Times New Roman" w:cs="Times New Roman"/>
          <w:sz w:val="22"/>
        </w:rPr>
        <w:br/>
      </w:r>
    </w:p>
    <w:p w14:paraId="4B26F580" w14:textId="3CD992B2" w:rsidR="005177E7" w:rsidRDefault="005177E7"/>
    <w:p w14:paraId="01DD95FA" w14:textId="388583F0" w:rsidR="00A83453" w:rsidRDefault="00A83453">
      <w:pPr>
        <w:widowControl/>
        <w:jc w:val="left"/>
      </w:pPr>
      <w:r>
        <w:br w:type="page"/>
      </w:r>
    </w:p>
    <w:p w14:paraId="75235E5C" w14:textId="77777777" w:rsidR="00BA0DCE" w:rsidRDefault="00BA0DCE"/>
    <w:p w14:paraId="27CD712E" w14:textId="77777777" w:rsidR="00BA0DCE" w:rsidRDefault="00BA0DCE"/>
    <w:p w14:paraId="5485919E" w14:textId="4F2A6F2D" w:rsidR="008A3E06" w:rsidRDefault="00567635">
      <w:r>
        <w:rPr>
          <w:noProof/>
        </w:rPr>
        <w:drawing>
          <wp:inline distT="0" distB="0" distL="0" distR="0" wp14:anchorId="6C943815" wp14:editId="0583A906">
            <wp:extent cx="5274310" cy="23164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C114" w14:textId="77777777" w:rsidR="00260746" w:rsidRPr="00E67C79" w:rsidRDefault="00260746" w:rsidP="00260746">
      <w:pPr>
        <w:rPr>
          <w:rFonts w:ascii="Times New Roman" w:hAnsi="Times New Roman" w:cs="Times New Roman"/>
          <w:b/>
          <w:bCs/>
        </w:rPr>
      </w:pPr>
      <w:r w:rsidRPr="00E67C79">
        <w:rPr>
          <w:rFonts w:ascii="Times New Roman" w:hAnsi="Times New Roman" w:cs="Times New Roman" w:hint="eastAsia"/>
          <w:b/>
          <w:bCs/>
        </w:rPr>
        <w:t>F</w:t>
      </w:r>
      <w:r w:rsidRPr="00E67C79">
        <w:rPr>
          <w:rFonts w:ascii="Times New Roman" w:hAnsi="Times New Roman" w:cs="Times New Roman"/>
          <w:b/>
          <w:bCs/>
        </w:rPr>
        <w:t>igure S1 Correlation between biological repeat samples by PCA and sample to sample correlation analysis.</w:t>
      </w:r>
    </w:p>
    <w:p w14:paraId="5792E7CB" w14:textId="78889D94" w:rsidR="00260746" w:rsidRDefault="00260746" w:rsidP="0026074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A, </w:t>
      </w:r>
      <w:r w:rsidRPr="00E67C79">
        <w:rPr>
          <w:rFonts w:ascii="Times New Roman" w:hAnsi="Times New Roman" w:cs="Times New Roman"/>
        </w:rPr>
        <w:t>the</w:t>
      </w:r>
      <w:r w:rsidRPr="00E67C79">
        <w:t xml:space="preserve"> </w:t>
      </w:r>
      <w:r w:rsidRPr="00E67C79">
        <w:rPr>
          <w:rFonts w:ascii="Times New Roman" w:hAnsi="Times New Roman" w:cs="Times New Roman"/>
        </w:rPr>
        <w:t xml:space="preserve">geometry indicates the samples </w:t>
      </w:r>
      <w:r>
        <w:rPr>
          <w:rFonts w:ascii="Times New Roman" w:hAnsi="Times New Roman" w:cs="Times New Roman"/>
        </w:rPr>
        <w:t>of different groups</w:t>
      </w:r>
      <w:r w:rsidRPr="00E67C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B, h</w:t>
      </w:r>
      <w:r w:rsidRPr="00E67C79">
        <w:rPr>
          <w:rFonts w:ascii="Times New Roman" w:hAnsi="Times New Roman" w:cs="Times New Roman"/>
        </w:rPr>
        <w:t>eatmap of the inter-individual correlation of all mRNA transcripts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Ch84 is short for </w:t>
      </w:r>
      <w:r w:rsidRPr="008D713A">
        <w:rPr>
          <w:rFonts w:ascii="Times New Roman" w:hAnsi="Times New Roman" w:cs="Times New Roman"/>
          <w:i/>
          <w:iCs/>
          <w:sz w:val="22"/>
        </w:rPr>
        <w:t>Changli84</w:t>
      </w:r>
      <w:r>
        <w:rPr>
          <w:rFonts w:ascii="Times New Roman" w:hAnsi="Times New Roman" w:cs="Times New Roman"/>
          <w:sz w:val="22"/>
        </w:rPr>
        <w:t xml:space="preserve">; D is short for </w:t>
      </w:r>
      <w:proofErr w:type="spellStart"/>
      <w:r w:rsidRPr="008D713A">
        <w:rPr>
          <w:rFonts w:ascii="Times New Roman" w:hAnsi="Times New Roman" w:cs="Times New Roman"/>
          <w:i/>
          <w:iCs/>
          <w:sz w:val="22"/>
        </w:rPr>
        <w:t>Dahuangganh</w:t>
      </w:r>
      <w:r w:rsidR="00583517">
        <w:rPr>
          <w:rFonts w:ascii="Times New Roman" w:hAnsi="Times New Roman" w:cs="Times New Roman"/>
          <w:i/>
          <w:iCs/>
          <w:sz w:val="22"/>
        </w:rPr>
        <w:t>e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61222709" w14:textId="14873CCD" w:rsidR="00A83453" w:rsidRDefault="00A83453">
      <w:pPr>
        <w:widowControl/>
        <w:jc w:val="left"/>
      </w:pPr>
      <w:r>
        <w:br w:type="page"/>
      </w:r>
    </w:p>
    <w:p w14:paraId="2334315B" w14:textId="77777777" w:rsidR="00001E10" w:rsidRPr="00260746" w:rsidRDefault="00001E10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0"/>
        <w:gridCol w:w="2117"/>
      </w:tblGrid>
      <w:tr w:rsidR="00001E10" w14:paraId="4ED8D827" w14:textId="77777777">
        <w:trPr>
          <w:trHeight w:val="288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6C4DB7C9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Table S1 Operation parameters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7C908204" w14:textId="77777777" w:rsidR="00001E10" w:rsidRDefault="00001E10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1E10" w14:paraId="4D65D416" w14:textId="77777777">
        <w:trPr>
          <w:trHeight w:val="276"/>
        </w:trPr>
        <w:tc>
          <w:tcPr>
            <w:tcW w:w="41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FE91E04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D317517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parameters</w:t>
            </w:r>
          </w:p>
        </w:tc>
      </w:tr>
      <w:tr w:rsidR="00001E10" w14:paraId="091C203C" w14:textId="77777777">
        <w:trPr>
          <w:trHeight w:val="27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6863CF0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ESI source temperature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76DCA112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500°C</w:t>
            </w:r>
          </w:p>
        </w:tc>
      </w:tr>
      <w:tr w:rsidR="00001E10" w14:paraId="1FEBC057" w14:textId="77777777">
        <w:trPr>
          <w:trHeight w:val="27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170D5878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ion spray voltage (IS)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7607AFAF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5500 V</w:t>
            </w:r>
          </w:p>
        </w:tc>
      </w:tr>
      <w:tr w:rsidR="00001E10" w14:paraId="14931BB9" w14:textId="77777777">
        <w:trPr>
          <w:trHeight w:val="27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323E9582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curtain gas (CUR)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5FA7624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25psi</w:t>
            </w:r>
          </w:p>
        </w:tc>
      </w:tr>
      <w:tr w:rsidR="00001E10" w14:paraId="509060F2" w14:textId="77777777">
        <w:trPr>
          <w:trHeight w:val="27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6A9B371C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collision-activated dissociation (CAD)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F9E2222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Highest</w:t>
            </w:r>
          </w:p>
        </w:tc>
      </w:tr>
      <w:tr w:rsidR="00001E10" w14:paraId="4E7AC8B9" w14:textId="77777777">
        <w:trPr>
          <w:trHeight w:val="27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4DE401A6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QQQ scans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3F202010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MRM</w:t>
            </w:r>
          </w:p>
        </w:tc>
      </w:tr>
      <w:tr w:rsidR="00001E10" w14:paraId="16BB33D1" w14:textId="77777777">
        <w:trPr>
          <w:trHeight w:val="288"/>
        </w:trPr>
        <w:tc>
          <w:tcPr>
            <w:tcW w:w="4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7342EA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m/z range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DADF73" w14:textId="77777777" w:rsidR="00001E10" w:rsidRDefault="00001E1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500~1000</w:t>
            </w:r>
          </w:p>
        </w:tc>
      </w:tr>
    </w:tbl>
    <w:p w14:paraId="1564FD0B" w14:textId="5E4C550D" w:rsidR="00001E10" w:rsidRDefault="00001E10"/>
    <w:p w14:paraId="1C3B7B4A" w14:textId="77777777" w:rsidR="00A83453" w:rsidRDefault="00A83453">
      <w:r>
        <w:br w:type="page"/>
      </w:r>
    </w:p>
    <w:tbl>
      <w:tblPr>
        <w:tblpPr w:leftFromText="180" w:rightFromText="180" w:vertAnchor="text" w:tblpY="1"/>
        <w:tblOverlap w:val="never"/>
        <w:tblW w:w="19005" w:type="dxa"/>
        <w:tblLook w:val="04A0" w:firstRow="1" w:lastRow="0" w:firstColumn="1" w:lastColumn="0" w:noHBand="0" w:noVBand="1"/>
      </w:tblPr>
      <w:tblGrid>
        <w:gridCol w:w="5060"/>
        <w:gridCol w:w="2260"/>
        <w:gridCol w:w="1700"/>
        <w:gridCol w:w="2240"/>
        <w:gridCol w:w="1600"/>
        <w:gridCol w:w="1180"/>
        <w:gridCol w:w="1145"/>
        <w:gridCol w:w="1420"/>
        <w:gridCol w:w="2400"/>
      </w:tblGrid>
      <w:tr w:rsidR="00792FA8" w:rsidRPr="00792FA8" w14:paraId="7C1456DE" w14:textId="77777777" w:rsidTr="00A8345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AB6" w14:textId="24564255" w:rsidR="00E10498" w:rsidRDefault="00E10498" w:rsidP="00530223">
            <w:pPr>
              <w:rPr>
                <w:b/>
                <w:bCs/>
              </w:rPr>
            </w:pPr>
          </w:p>
          <w:p w14:paraId="74C0E516" w14:textId="77777777" w:rsidR="00792FA8" w:rsidRDefault="00792FA8" w:rsidP="00530223">
            <w:pPr>
              <w:rPr>
                <w:b/>
                <w:bCs/>
              </w:rPr>
            </w:pPr>
            <w:r w:rsidRPr="00792FA8">
              <w:rPr>
                <w:rFonts w:hint="eastAsia"/>
                <w:b/>
                <w:bCs/>
              </w:rPr>
              <w:t xml:space="preserve">Table S2 </w:t>
            </w:r>
            <w:bookmarkStart w:id="0" w:name="OLE_LINK1"/>
            <w:bookmarkStart w:id="1" w:name="OLE_LINK2"/>
            <w:r w:rsidRPr="00792FA8">
              <w:rPr>
                <w:rFonts w:hint="eastAsia"/>
                <w:b/>
                <w:bCs/>
              </w:rPr>
              <w:t>Overview of sequencing data</w:t>
            </w:r>
            <w:bookmarkEnd w:id="0"/>
            <w:bookmarkEnd w:id="1"/>
          </w:p>
          <w:p w14:paraId="058BDDC8" w14:textId="68A3F37D" w:rsidR="00BB3DD6" w:rsidRPr="00792FA8" w:rsidRDefault="00BB3DD6" w:rsidP="00530223">
            <w:pPr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7A3" w14:textId="77777777" w:rsidR="00792FA8" w:rsidRPr="00792FA8" w:rsidRDefault="00792FA8" w:rsidP="0053022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B14" w14:textId="77777777" w:rsidR="00792FA8" w:rsidRPr="00792FA8" w:rsidRDefault="00792FA8" w:rsidP="0053022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990" w14:textId="77777777" w:rsidR="00792FA8" w:rsidRPr="00792FA8" w:rsidRDefault="00792FA8" w:rsidP="0053022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759" w14:textId="77777777" w:rsidR="00792FA8" w:rsidRPr="00792FA8" w:rsidRDefault="00792FA8" w:rsidP="0053022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999" w14:textId="77777777" w:rsidR="00792FA8" w:rsidRPr="00792FA8" w:rsidRDefault="00792FA8" w:rsidP="0053022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B5F" w14:textId="77777777" w:rsidR="00792FA8" w:rsidRPr="00792FA8" w:rsidRDefault="00792FA8" w:rsidP="00530223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EB7" w14:textId="77777777" w:rsidR="00792FA8" w:rsidRPr="00792FA8" w:rsidRDefault="00792FA8" w:rsidP="0053022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F35" w14:textId="77777777" w:rsidR="00792FA8" w:rsidRPr="00792FA8" w:rsidRDefault="00792FA8" w:rsidP="00530223"/>
        </w:tc>
      </w:tr>
      <w:tr w:rsidR="00BB3DD6" w:rsidRPr="00792FA8" w14:paraId="6A19EA73" w14:textId="77777777" w:rsidTr="00A8345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1B77" w14:textId="77777777" w:rsidR="00BB3DD6" w:rsidRDefault="00BB3DD6" w:rsidP="00530223">
            <w:pPr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6E57" w14:textId="77777777" w:rsidR="00BB3DD6" w:rsidRPr="00792FA8" w:rsidRDefault="00BB3DD6" w:rsidP="00530223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A55F" w14:textId="77777777" w:rsidR="00BB3DD6" w:rsidRPr="00792FA8" w:rsidRDefault="00BB3DD6" w:rsidP="0053022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F5F9" w14:textId="77777777" w:rsidR="00BB3DD6" w:rsidRPr="00792FA8" w:rsidRDefault="00BB3DD6" w:rsidP="0053022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F75F" w14:textId="77777777" w:rsidR="00BB3DD6" w:rsidRPr="00792FA8" w:rsidRDefault="00BB3DD6" w:rsidP="0053022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CDE8" w14:textId="77777777" w:rsidR="00BB3DD6" w:rsidRPr="00792FA8" w:rsidRDefault="00BB3DD6" w:rsidP="0053022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1851" w14:textId="77777777" w:rsidR="00BB3DD6" w:rsidRPr="00792FA8" w:rsidRDefault="00BB3DD6" w:rsidP="00530223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CFDE" w14:textId="77777777" w:rsidR="00BB3DD6" w:rsidRPr="00792FA8" w:rsidRDefault="00BB3DD6" w:rsidP="00530223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3577" w14:textId="77777777" w:rsidR="00BB3DD6" w:rsidRPr="00792FA8" w:rsidRDefault="00BB3DD6" w:rsidP="00530223"/>
        </w:tc>
      </w:tr>
    </w:tbl>
    <w:p w14:paraId="3167CD8F" w14:textId="680F4210" w:rsidR="00001E10" w:rsidRPr="00CB6D89" w:rsidRDefault="00BB3DD6">
      <w:r w:rsidRPr="00BB3DD6">
        <w:rPr>
          <w:noProof/>
        </w:rPr>
        <w:drawing>
          <wp:inline distT="0" distB="0" distL="0" distR="0" wp14:anchorId="2437935D" wp14:editId="32E596B2">
            <wp:extent cx="8078073" cy="3183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5671" cy="31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E10" w:rsidRPr="00CB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4DF0" w14:textId="77777777" w:rsidR="004400DC" w:rsidRDefault="004400DC" w:rsidP="00784DF9">
      <w:r>
        <w:separator/>
      </w:r>
    </w:p>
  </w:endnote>
  <w:endnote w:type="continuationSeparator" w:id="0">
    <w:p w14:paraId="49980C6D" w14:textId="77777777" w:rsidR="004400DC" w:rsidRDefault="004400DC" w:rsidP="007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795E" w14:textId="77777777" w:rsidR="004400DC" w:rsidRDefault="004400DC" w:rsidP="00784DF9">
      <w:r>
        <w:separator/>
      </w:r>
    </w:p>
  </w:footnote>
  <w:footnote w:type="continuationSeparator" w:id="0">
    <w:p w14:paraId="7FF041E1" w14:textId="77777777" w:rsidR="004400DC" w:rsidRDefault="004400DC" w:rsidP="0078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0291C"/>
    <w:multiLevelType w:val="multilevel"/>
    <w:tmpl w:val="8348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C5446"/>
    <w:multiLevelType w:val="multilevel"/>
    <w:tmpl w:val="A32A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A0"/>
    <w:rsid w:val="000000A3"/>
    <w:rsid w:val="00001E10"/>
    <w:rsid w:val="000467D7"/>
    <w:rsid w:val="000E41B8"/>
    <w:rsid w:val="000F5F4D"/>
    <w:rsid w:val="001C2315"/>
    <w:rsid w:val="00260746"/>
    <w:rsid w:val="002D2FE2"/>
    <w:rsid w:val="00333165"/>
    <w:rsid w:val="003C056A"/>
    <w:rsid w:val="004400DC"/>
    <w:rsid w:val="004422A2"/>
    <w:rsid w:val="004D2C0D"/>
    <w:rsid w:val="005177E7"/>
    <w:rsid w:val="00530223"/>
    <w:rsid w:val="00567635"/>
    <w:rsid w:val="00583517"/>
    <w:rsid w:val="00670392"/>
    <w:rsid w:val="0077069D"/>
    <w:rsid w:val="00784DF9"/>
    <w:rsid w:val="00792FA8"/>
    <w:rsid w:val="00817D81"/>
    <w:rsid w:val="008A3E06"/>
    <w:rsid w:val="008D51CF"/>
    <w:rsid w:val="008F2D47"/>
    <w:rsid w:val="009C68AF"/>
    <w:rsid w:val="00A242C9"/>
    <w:rsid w:val="00A445A0"/>
    <w:rsid w:val="00A83453"/>
    <w:rsid w:val="00AE4072"/>
    <w:rsid w:val="00BA0DCE"/>
    <w:rsid w:val="00BB3DD6"/>
    <w:rsid w:val="00C97AD4"/>
    <w:rsid w:val="00CA0D8E"/>
    <w:rsid w:val="00CB6D89"/>
    <w:rsid w:val="00CC6149"/>
    <w:rsid w:val="00E10498"/>
    <w:rsid w:val="00E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66E9"/>
  <w15:chartTrackingRefBased/>
  <w15:docId w15:val="{F2A0B365-E100-4BAA-81E9-F3633D1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DF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6D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DF9"/>
    <w:rPr>
      <w:sz w:val="18"/>
      <w:szCs w:val="18"/>
    </w:rPr>
  </w:style>
  <w:style w:type="character" w:styleId="a7">
    <w:name w:val="Strong"/>
    <w:basedOn w:val="a0"/>
    <w:uiPriority w:val="22"/>
    <w:qFormat/>
    <w:rsid w:val="00784DF9"/>
    <w:rPr>
      <w:b/>
      <w:bCs/>
    </w:rPr>
  </w:style>
  <w:style w:type="character" w:customStyle="1" w:styleId="30">
    <w:name w:val="标题 3 字符"/>
    <w:basedOn w:val="a0"/>
    <w:link w:val="3"/>
    <w:uiPriority w:val="9"/>
    <w:rsid w:val="00CB6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-article-author-affiliationaddress">
    <w:name w:val="c-article-author-affiliation__address"/>
    <w:basedOn w:val="a"/>
    <w:rsid w:val="00CB6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-article-author-affiliationauthors-list">
    <w:name w:val="c-article-author-affiliation__authors-list"/>
    <w:basedOn w:val="a"/>
    <w:rsid w:val="00CB6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B6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6D89"/>
    <w:rPr>
      <w:color w:val="0000FF"/>
      <w:u w:val="single"/>
    </w:rPr>
  </w:style>
  <w:style w:type="table" w:styleId="aa">
    <w:name w:val="Table Grid"/>
    <w:basedOn w:val="a1"/>
    <w:uiPriority w:val="39"/>
    <w:rsid w:val="0000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33</cp:revision>
  <dcterms:created xsi:type="dcterms:W3CDTF">2021-02-16T07:50:00Z</dcterms:created>
  <dcterms:modified xsi:type="dcterms:W3CDTF">2021-02-24T07:33:00Z</dcterms:modified>
</cp:coreProperties>
</file>