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8" w:rsidRPr="00530CB7" w:rsidRDefault="00462DA8" w:rsidP="00462DA8">
      <w:pPr>
        <w:pageBreakBefore/>
        <w:spacing w:after="0"/>
        <w:jc w:val="center"/>
        <w:rPr>
          <w:sz w:val="8"/>
          <w:szCs w:val="8"/>
          <w:lang w:val="en-GB"/>
        </w:rPr>
      </w:pPr>
      <w:r>
        <w:rPr>
          <w:rFonts w:cs="Times New Roman"/>
          <w:b/>
          <w:szCs w:val="24"/>
        </w:rPr>
        <w:t>Annex 1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3"/>
        <w:gridCol w:w="6204"/>
      </w:tblGrid>
      <w:tr w:rsidR="00462DA8" w:rsidRPr="00530CB7" w:rsidTr="00D743BD">
        <w:tc>
          <w:tcPr>
            <w:tcW w:w="3643" w:type="dxa"/>
            <w:shd w:val="clear" w:color="auto" w:fill="auto"/>
          </w:tcPr>
          <w:p w:rsidR="00462DA8" w:rsidRPr="00530CB7" w:rsidRDefault="00462DA8" w:rsidP="00D743BD">
            <w:pPr>
              <w:spacing w:after="0" w:line="100" w:lineRule="atLeast"/>
              <w:rPr>
                <w:b/>
                <w:lang w:val="en-GB"/>
              </w:rPr>
            </w:pPr>
            <w:r w:rsidRPr="00530CB7">
              <w:rPr>
                <w:noProof/>
                <w:lang w:val="it-IT" w:eastAsia="it-IT"/>
              </w:rPr>
              <w:drawing>
                <wp:inline distT="0" distB="0" distL="0" distR="0" wp14:anchorId="6DBEF3BE" wp14:editId="5199C2EC">
                  <wp:extent cx="2138680" cy="5568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556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</w:t>
            </w:r>
            <w:r w:rsidRPr="00530CB7">
              <w:rPr>
                <w:b/>
                <w:lang w:val="en-GB"/>
              </w:rPr>
              <w:t>COST Action CA15206</w:t>
            </w:r>
          </w:p>
          <w:p w:rsidR="00462DA8" w:rsidRPr="00530CB7" w:rsidRDefault="00462DA8" w:rsidP="00D743BD">
            <w:pPr>
              <w:spacing w:after="0" w:line="100" w:lineRule="atLeast"/>
              <w:rPr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Payments for Ecosystem Services (Forests for Water) (PESFOR-W)</w:t>
            </w:r>
          </w:p>
        </w:tc>
      </w:tr>
    </w:tbl>
    <w:p w:rsidR="00462DA8" w:rsidRPr="00530CB7" w:rsidRDefault="00462DA8" w:rsidP="00462DA8">
      <w:pPr>
        <w:spacing w:after="0"/>
        <w:jc w:val="center"/>
        <w:rPr>
          <w:b/>
          <w:lang w:val="en-GB"/>
        </w:rPr>
      </w:pPr>
    </w:p>
    <w:p w:rsidR="00462DA8" w:rsidRPr="00530CB7" w:rsidRDefault="00462DA8" w:rsidP="00462DA8">
      <w:pPr>
        <w:spacing w:after="0"/>
        <w:jc w:val="center"/>
        <w:rPr>
          <w:lang w:val="en-GB"/>
        </w:rPr>
      </w:pPr>
      <w:r w:rsidRPr="00530CB7">
        <w:rPr>
          <w:b/>
          <w:lang w:val="en-GB"/>
        </w:rPr>
        <w:t>QUESTIONNAIRE</w:t>
      </w:r>
    </w:p>
    <w:p w:rsidR="00462DA8" w:rsidRPr="00530CB7" w:rsidRDefault="00462DA8" w:rsidP="00462DA8">
      <w:pPr>
        <w:spacing w:after="0"/>
        <w:ind w:firstLine="708"/>
        <w:rPr>
          <w:lang w:val="en-GB"/>
        </w:rPr>
      </w:pPr>
    </w:p>
    <w:p w:rsidR="00462DA8" w:rsidRPr="00530CB7" w:rsidRDefault="00462DA8" w:rsidP="00462DA8">
      <w:pPr>
        <w:spacing w:after="0"/>
        <w:ind w:firstLine="708"/>
        <w:rPr>
          <w:lang w:val="en-GB"/>
        </w:rPr>
      </w:pPr>
      <w:r w:rsidRPr="00530CB7">
        <w:rPr>
          <w:lang w:val="en-GB"/>
        </w:rPr>
        <w:t>We are conducting a survey about the stakeholder’ perception and opinions on forests for water Payment for Ecosystem Services (PES) schemes</w:t>
      </w:r>
      <w:r w:rsidRPr="00530CB7">
        <w:rPr>
          <w:rStyle w:val="Rimandonotaapidipagina"/>
          <w:lang w:val="en-GB"/>
        </w:rPr>
        <w:footnoteReference w:id="1"/>
      </w:r>
      <w:r w:rsidRPr="00530CB7">
        <w:rPr>
          <w:lang w:val="en-GB"/>
        </w:rPr>
        <w:t xml:space="preserve">. Our study is realized under the framework of the COST Action CA15206 “Payments for Ecosystem Services (Forests for Water)” (web site: </w:t>
      </w:r>
      <w:hyperlink r:id="rId8" w:history="1">
        <w:r w:rsidRPr="00530CB7">
          <w:rPr>
            <w:rStyle w:val="Collegamentoipertestuale"/>
            <w:lang w:val="en-GB"/>
          </w:rPr>
          <w:t>https://it-it.facebook.com/pesforW/</w:t>
        </w:r>
      </w:hyperlink>
      <w:r w:rsidRPr="00530CB7">
        <w:rPr>
          <w:lang w:val="en-GB"/>
        </w:rPr>
        <w:t xml:space="preserve">), which is financed from the European Union – Short-term Scientific Mission (STSM). </w:t>
      </w:r>
    </w:p>
    <w:p w:rsidR="00462DA8" w:rsidRDefault="00462DA8" w:rsidP="00462DA8">
      <w:pPr>
        <w:spacing w:after="0"/>
        <w:rPr>
          <w:lang w:val="en-GB"/>
        </w:rPr>
      </w:pPr>
      <w:r w:rsidRPr="00530CB7">
        <w:rPr>
          <w:lang w:val="en-GB"/>
        </w:rPr>
        <w:tab/>
        <w:t xml:space="preserve">We are asking your help, as stakeholder/consumer, for understanding your opinion about the importance and future developments of forests for water PES schemes in your Country. </w:t>
      </w:r>
      <w:r w:rsidRPr="00363D6D">
        <w:rPr>
          <w:lang w:val="en-GB"/>
        </w:rPr>
        <w:t>The information provided with this questionnaire will be processed in an aggregated and anonymous way</w:t>
      </w:r>
      <w:r>
        <w:rPr>
          <w:lang w:val="en-GB"/>
        </w:rPr>
        <w:t xml:space="preserve">, and they will </w:t>
      </w:r>
      <w:r w:rsidRPr="00363D6D">
        <w:rPr>
          <w:lang w:val="en-GB"/>
        </w:rPr>
        <w:t xml:space="preserve">be used </w:t>
      </w:r>
      <w:r>
        <w:rPr>
          <w:lang w:val="en-GB"/>
        </w:rPr>
        <w:t xml:space="preserve">only </w:t>
      </w:r>
      <w:r w:rsidRPr="00363D6D">
        <w:rPr>
          <w:lang w:val="en-GB"/>
        </w:rPr>
        <w:t>for scientific purposes within the COST Action CA15206.</w:t>
      </w:r>
    </w:p>
    <w:p w:rsidR="00462DA8" w:rsidRPr="008A3ABF" w:rsidRDefault="00462DA8" w:rsidP="00462DA8">
      <w:pPr>
        <w:spacing w:after="0"/>
        <w:rPr>
          <w:lang w:val="en-GB"/>
        </w:rPr>
      </w:pPr>
      <w:r w:rsidRPr="00530CB7">
        <w:rPr>
          <w:lang w:val="en-GB"/>
        </w:rPr>
        <w:t>Hoping to have your support, we are sending you these questions. Completely filled-in questionnaires will be essential for our study.</w:t>
      </w:r>
      <w:r>
        <w:rPr>
          <w:lang w:val="en-GB"/>
        </w:rPr>
        <w:t xml:space="preserve"> </w:t>
      </w:r>
      <w:r w:rsidRPr="00B22D77">
        <w:rPr>
          <w:lang w:val="en-US"/>
        </w:rPr>
        <w:t>The data collected will be used only for purpose of the study and its aim – to compare the stakeholders</w:t>
      </w:r>
      <w:r>
        <w:rPr>
          <w:lang w:val="en-US"/>
        </w:rPr>
        <w:t>’</w:t>
      </w:r>
      <w:r w:rsidRPr="00B22D77">
        <w:rPr>
          <w:lang w:val="en-US"/>
        </w:rPr>
        <w:t xml:space="preserve"> opinion</w:t>
      </w:r>
      <w:r>
        <w:rPr>
          <w:lang w:val="en-US"/>
        </w:rPr>
        <w:t>s</w:t>
      </w:r>
      <w:r w:rsidRPr="00B22D77">
        <w:rPr>
          <w:lang w:val="en-US"/>
        </w:rPr>
        <w:t xml:space="preserve"> about the water PES schemes in chosen European countries.</w:t>
      </w:r>
    </w:p>
    <w:p w:rsidR="00462DA8" w:rsidRPr="00530CB7" w:rsidRDefault="00462DA8" w:rsidP="00462DA8">
      <w:pPr>
        <w:spacing w:after="0"/>
        <w:rPr>
          <w:b/>
          <w:lang w:val="en-GB"/>
        </w:rPr>
      </w:pPr>
    </w:p>
    <w:p w:rsidR="00462DA8" w:rsidRPr="00530CB7" w:rsidRDefault="00462DA8" w:rsidP="00462DA8">
      <w:pPr>
        <w:spacing w:after="80"/>
        <w:rPr>
          <w:b/>
          <w:lang w:val="en-GB"/>
        </w:rPr>
      </w:pPr>
      <w:r w:rsidRPr="00530CB7">
        <w:rPr>
          <w:b/>
          <w:lang w:val="en-GB"/>
        </w:rPr>
        <w:t xml:space="preserve">Section 1. General and personal information </w:t>
      </w:r>
    </w:p>
    <w:p w:rsidR="00462DA8" w:rsidRPr="00530CB7" w:rsidRDefault="00462DA8" w:rsidP="00462DA8">
      <w:pPr>
        <w:pStyle w:val="ListParagraph1"/>
        <w:numPr>
          <w:ilvl w:val="1"/>
          <w:numId w:val="1"/>
        </w:numPr>
        <w:spacing w:after="80"/>
        <w:rPr>
          <w:rFonts w:eastAsia="Calibri" w:cs="Times New Roman"/>
          <w:kern w:val="0"/>
          <w:sz w:val="22"/>
          <w:szCs w:val="22"/>
          <w:lang w:val="en-GB" w:eastAsia="en-US" w:bidi="ar-SA"/>
        </w:rPr>
      </w:pPr>
      <w:r w:rsidRPr="00530CB7">
        <w:rPr>
          <w:rFonts w:eastAsia="Calibri" w:cs="Times New Roman"/>
          <w:kern w:val="0"/>
          <w:sz w:val="22"/>
          <w:szCs w:val="22"/>
          <w:lang w:val="en-GB" w:eastAsia="en-US" w:bidi="ar-SA"/>
        </w:rPr>
        <w:t>Name of your organization/association: __________________________________________________</w:t>
      </w:r>
    </w:p>
    <w:p w:rsidR="00462DA8" w:rsidRPr="00530CB7" w:rsidRDefault="00462DA8" w:rsidP="00462DA8">
      <w:pPr>
        <w:pStyle w:val="ListParagraph1"/>
        <w:numPr>
          <w:ilvl w:val="1"/>
          <w:numId w:val="1"/>
        </w:numPr>
        <w:spacing w:after="80"/>
        <w:rPr>
          <w:rFonts w:eastAsia="Calibri" w:cs="Times New Roman"/>
          <w:kern w:val="0"/>
          <w:sz w:val="22"/>
          <w:szCs w:val="22"/>
          <w:lang w:val="en-GB" w:eastAsia="en-US" w:bidi="ar-SA"/>
        </w:rPr>
      </w:pPr>
      <w:r w:rsidRPr="00530CB7">
        <w:rPr>
          <w:rFonts w:eastAsia="Calibri" w:cs="Times New Roman"/>
          <w:kern w:val="0"/>
          <w:sz w:val="22"/>
          <w:szCs w:val="22"/>
          <w:lang w:val="en-GB" w:eastAsia="en-US" w:bidi="ar-SA"/>
        </w:rPr>
        <w:t>Region: ___________________________________________</w:t>
      </w:r>
    </w:p>
    <w:p w:rsidR="00462DA8" w:rsidRPr="00530CB7" w:rsidRDefault="00462DA8" w:rsidP="00462DA8">
      <w:pPr>
        <w:pStyle w:val="ListParagraph1"/>
        <w:numPr>
          <w:ilvl w:val="1"/>
          <w:numId w:val="1"/>
        </w:numPr>
        <w:spacing w:after="80"/>
        <w:rPr>
          <w:rFonts w:eastAsia="Calibri" w:cs="Times New Roman"/>
          <w:kern w:val="0"/>
          <w:sz w:val="22"/>
          <w:szCs w:val="22"/>
          <w:lang w:val="en-GB" w:eastAsia="en-US" w:bidi="ar-SA"/>
        </w:rPr>
      </w:pPr>
      <w:r w:rsidRPr="00530CB7">
        <w:rPr>
          <w:rFonts w:eastAsia="Calibri" w:cs="Times New Roman"/>
          <w:kern w:val="0"/>
          <w:sz w:val="22"/>
          <w:szCs w:val="22"/>
          <w:lang w:val="en-GB" w:eastAsia="en-US" w:bidi="ar-SA"/>
        </w:rPr>
        <w:t>Your role in the organization/association: ____________________________________________</w:t>
      </w:r>
      <w:r>
        <w:rPr>
          <w:rFonts w:eastAsia="Calibri" w:cs="Times New Roman"/>
          <w:kern w:val="0"/>
          <w:sz w:val="22"/>
          <w:szCs w:val="22"/>
          <w:lang w:val="en-GB" w:eastAsia="en-US" w:bidi="ar-SA"/>
        </w:rPr>
        <w:t>__</w:t>
      </w:r>
      <w:r w:rsidRPr="00530CB7">
        <w:rPr>
          <w:rFonts w:eastAsia="Calibri" w:cs="Times New Roman"/>
          <w:kern w:val="0"/>
          <w:sz w:val="22"/>
          <w:szCs w:val="22"/>
          <w:lang w:val="en-GB" w:eastAsia="en-US" w:bidi="ar-SA"/>
        </w:rPr>
        <w:t>____</w:t>
      </w:r>
    </w:p>
    <w:p w:rsidR="00462DA8" w:rsidRPr="00530CB7" w:rsidRDefault="00462DA8" w:rsidP="00462DA8">
      <w:pPr>
        <w:pStyle w:val="ListParagraph1"/>
        <w:numPr>
          <w:ilvl w:val="1"/>
          <w:numId w:val="1"/>
        </w:numPr>
        <w:spacing w:after="80"/>
        <w:rPr>
          <w:rFonts w:eastAsia="Calibri" w:cs="Times New Roman"/>
          <w:kern w:val="0"/>
          <w:sz w:val="22"/>
          <w:szCs w:val="22"/>
          <w:lang w:val="en-GB" w:eastAsia="en-US" w:bidi="ar-SA"/>
        </w:rPr>
      </w:pPr>
      <w:r w:rsidRPr="00530CB7">
        <w:rPr>
          <w:rFonts w:eastAsia="Calibri" w:cs="Times New Roman"/>
          <w:kern w:val="0"/>
          <w:sz w:val="22"/>
          <w:szCs w:val="22"/>
          <w:lang w:val="en-GB" w:eastAsia="en-US" w:bidi="ar-SA"/>
        </w:rPr>
        <w:t>Your scientific field/University of post-university degree: _____________________________</w:t>
      </w:r>
      <w:r>
        <w:rPr>
          <w:rFonts w:eastAsia="Calibri" w:cs="Times New Roman"/>
          <w:kern w:val="0"/>
          <w:sz w:val="22"/>
          <w:szCs w:val="22"/>
          <w:lang w:val="en-GB" w:eastAsia="en-US" w:bidi="ar-SA"/>
        </w:rPr>
        <w:t>_______________</w:t>
      </w:r>
      <w:r w:rsidRPr="00530CB7">
        <w:rPr>
          <w:rFonts w:eastAsia="Calibri" w:cs="Times New Roman"/>
          <w:kern w:val="0"/>
          <w:sz w:val="22"/>
          <w:szCs w:val="22"/>
          <w:lang w:val="en-GB" w:eastAsia="en-US" w:bidi="ar-SA"/>
        </w:rPr>
        <w:t>______</w:t>
      </w:r>
    </w:p>
    <w:p w:rsidR="00462DA8" w:rsidRPr="00530CB7" w:rsidRDefault="00462DA8" w:rsidP="00462DA8">
      <w:pPr>
        <w:pStyle w:val="ListParagraph1"/>
        <w:numPr>
          <w:ilvl w:val="1"/>
          <w:numId w:val="1"/>
        </w:numPr>
        <w:spacing w:after="80"/>
        <w:jc w:val="both"/>
        <w:rPr>
          <w:rFonts w:eastAsia="Calibri" w:cs="Times New Roman"/>
          <w:kern w:val="0"/>
          <w:sz w:val="22"/>
          <w:szCs w:val="22"/>
          <w:lang w:val="en-GB" w:eastAsia="en-US" w:bidi="ar-SA"/>
        </w:rPr>
      </w:pPr>
      <w:r w:rsidRPr="00530CB7">
        <w:rPr>
          <w:rFonts w:eastAsia="Calibri" w:cs="Times New Roman"/>
          <w:kern w:val="0"/>
          <w:sz w:val="22"/>
          <w:szCs w:val="22"/>
          <w:lang w:val="en-GB" w:eastAsia="en-US" w:bidi="ar-SA"/>
        </w:rPr>
        <w:t>Years of work in your scientific field:</w:t>
      </w:r>
    </w:p>
    <w:p w:rsidR="00462DA8" w:rsidRPr="00530CB7" w:rsidRDefault="00462DA8" w:rsidP="00462DA8">
      <w:pPr>
        <w:spacing w:after="80"/>
        <w:jc w:val="center"/>
        <w:rPr>
          <w:lang w:val="en-GB"/>
        </w:rPr>
      </w:pPr>
      <w:r w:rsidRPr="00530CB7">
        <w:rPr>
          <w:rFonts w:eastAsia="Times New Roman"/>
          <w:lang w:val="en-GB"/>
        </w:rPr>
        <w:sym w:font="Symbol" w:char="F07F"/>
      </w:r>
      <w:r>
        <w:rPr>
          <w:rFonts w:eastAsia="Times New Roman"/>
          <w:lang w:val="en-GB"/>
        </w:rPr>
        <w:t xml:space="preserve"> </w:t>
      </w:r>
      <w:r w:rsidRPr="00530CB7">
        <w:rPr>
          <w:lang w:val="en-GB"/>
        </w:rPr>
        <w:t xml:space="preserve">Less than 1 year     </w:t>
      </w:r>
      <w:r w:rsidRPr="00530CB7">
        <w:rPr>
          <w:rFonts w:eastAsia="Times New Roman"/>
          <w:lang w:val="en-GB"/>
        </w:rPr>
        <w:sym w:font="Symbol" w:char="F07F"/>
      </w:r>
      <w:r w:rsidRPr="00530CB7">
        <w:rPr>
          <w:lang w:val="en-GB"/>
        </w:rPr>
        <w:t xml:space="preserve"> 1-5 years       </w:t>
      </w:r>
      <w:r w:rsidRPr="00530CB7">
        <w:rPr>
          <w:rFonts w:eastAsia="Times New Roman"/>
          <w:lang w:val="en-GB"/>
        </w:rPr>
        <w:sym w:font="Symbol" w:char="F07F"/>
      </w:r>
      <w:r w:rsidRPr="00530CB7">
        <w:rPr>
          <w:lang w:val="en-GB"/>
        </w:rPr>
        <w:t xml:space="preserve"> 6-10 years      </w:t>
      </w:r>
      <w:r w:rsidRPr="00530CB7">
        <w:rPr>
          <w:rFonts w:eastAsia="Times New Roman"/>
          <w:lang w:val="en-GB"/>
        </w:rPr>
        <w:sym w:font="Symbol" w:char="F07F"/>
      </w:r>
      <w:r w:rsidRPr="00530CB7">
        <w:rPr>
          <w:lang w:val="en-GB"/>
        </w:rPr>
        <w:t xml:space="preserve"> 11-15 years    </w:t>
      </w:r>
      <w:r w:rsidRPr="00530CB7">
        <w:rPr>
          <w:rFonts w:eastAsia="Times New Roman"/>
          <w:lang w:val="en-GB"/>
        </w:rPr>
        <w:sym w:font="Symbol" w:char="F07F"/>
      </w:r>
      <w:r w:rsidRPr="00530CB7">
        <w:rPr>
          <w:lang w:val="en-GB"/>
        </w:rPr>
        <w:t xml:space="preserve"> More than 15 years    </w:t>
      </w:r>
    </w:p>
    <w:p w:rsidR="00462DA8" w:rsidRPr="00530CB7" w:rsidRDefault="00462DA8" w:rsidP="00462DA8">
      <w:pPr>
        <w:spacing w:after="0"/>
        <w:rPr>
          <w:b/>
          <w:lang w:val="en-GB"/>
        </w:rPr>
      </w:pPr>
    </w:p>
    <w:p w:rsidR="00462DA8" w:rsidRPr="00530CB7" w:rsidRDefault="00462DA8" w:rsidP="00462DA8">
      <w:pPr>
        <w:spacing w:after="80"/>
        <w:rPr>
          <w:lang w:val="en-GB"/>
        </w:rPr>
      </w:pPr>
      <w:r w:rsidRPr="00530CB7">
        <w:rPr>
          <w:b/>
          <w:lang w:val="en-GB"/>
        </w:rPr>
        <w:t xml:space="preserve">Section 2. Relationship between forests and water </w:t>
      </w:r>
    </w:p>
    <w:p w:rsidR="00462DA8" w:rsidRPr="00530CB7" w:rsidRDefault="00462DA8" w:rsidP="00462DA8">
      <w:pPr>
        <w:pStyle w:val="Nessunaspaziatura"/>
        <w:jc w:val="both"/>
        <w:rPr>
          <w:rFonts w:ascii="Times New Roman" w:hAnsi="Times New Roman"/>
          <w:lang w:val="en-GB"/>
        </w:rPr>
      </w:pPr>
      <w:r w:rsidRPr="00530CB7">
        <w:rPr>
          <w:rFonts w:ascii="Times New Roman" w:hAnsi="Times New Roman"/>
          <w:lang w:val="en-GB"/>
        </w:rPr>
        <w:t>Internal competition in forest ecosystem utilisation occurs between subjects utilising its individual functions.</w:t>
      </w:r>
      <w:r>
        <w:rPr>
          <w:rFonts w:ascii="Times New Roman" w:hAnsi="Times New Roman"/>
          <w:lang w:val="en-GB"/>
        </w:rPr>
        <w:t xml:space="preserve"> I</w:t>
      </w:r>
      <w:r w:rsidRPr="00530CB7">
        <w:rPr>
          <w:rFonts w:ascii="Times New Roman" w:hAnsi="Times New Roman"/>
          <w:lang w:val="en-GB"/>
        </w:rPr>
        <w:t>nteractions between forests and water provide an extensive range of products and services that are of vital importance to the functioning of the biosphere, to society and to human well-being. In this section of the questionnaire we would like to know your opinion about this topic.</w:t>
      </w:r>
    </w:p>
    <w:p w:rsidR="00462DA8" w:rsidRDefault="00462DA8" w:rsidP="00462DA8">
      <w:pPr>
        <w:spacing w:after="80"/>
        <w:rPr>
          <w:lang w:val="en-GB"/>
        </w:rPr>
      </w:pPr>
    </w:p>
    <w:p w:rsidR="00462DA8" w:rsidRPr="00530CB7" w:rsidRDefault="00462DA8" w:rsidP="00462DA8">
      <w:pPr>
        <w:spacing w:after="80"/>
        <w:rPr>
          <w:lang w:val="en-GB"/>
        </w:rPr>
      </w:pPr>
      <w:r w:rsidRPr="00530CB7">
        <w:rPr>
          <w:lang w:val="en-GB"/>
        </w:rPr>
        <w:t xml:space="preserve">2.1. What is the </w:t>
      </w:r>
      <w:r w:rsidRPr="00530CB7">
        <w:rPr>
          <w:u w:val="single"/>
          <w:lang w:val="en-GB"/>
        </w:rPr>
        <w:t>level of importance of forests in providing the following water ecosystem services</w:t>
      </w:r>
      <w:r w:rsidRPr="00530CB7">
        <w:rPr>
          <w:lang w:val="en-GB"/>
        </w:rPr>
        <w:t xml:space="preserve"> in your opinion (from 1=very low importance to 5=very high importance)? Please indicate your preference with “X” in each row.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25"/>
        <w:gridCol w:w="426"/>
        <w:gridCol w:w="425"/>
        <w:gridCol w:w="425"/>
        <w:gridCol w:w="425"/>
      </w:tblGrid>
      <w:tr w:rsidR="00462DA8" w:rsidRPr="00530CB7" w:rsidTr="00D743BD">
        <w:trPr>
          <w:trHeight w:val="136"/>
        </w:trPr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Water ecosystem service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462DA8" w:rsidRPr="00530CB7" w:rsidTr="00D743BD">
        <w:tc>
          <w:tcPr>
            <w:tcW w:w="9072" w:type="dxa"/>
            <w:gridSpan w:val="6"/>
            <w:shd w:val="clear" w:color="auto" w:fill="C5E0B3"/>
          </w:tcPr>
          <w:p w:rsidR="00462DA8" w:rsidRPr="00530CB7" w:rsidRDefault="00462DA8" w:rsidP="00D743BD">
            <w:pPr>
              <w:spacing w:after="0"/>
              <w:rPr>
                <w:b/>
                <w:i/>
                <w:sz w:val="20"/>
                <w:szCs w:val="20"/>
                <w:lang w:val="en-GB"/>
              </w:rPr>
            </w:pPr>
            <w:r w:rsidRPr="00530CB7">
              <w:rPr>
                <w:b/>
                <w:i/>
                <w:sz w:val="20"/>
                <w:szCs w:val="20"/>
                <w:lang w:val="en-GB"/>
              </w:rPr>
              <w:t>Provisioning services</w:t>
            </w: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lastRenderedPageBreak/>
              <w:t>Recharge of groundwater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Provision of clean drinking water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9072" w:type="dxa"/>
            <w:gridSpan w:val="6"/>
            <w:shd w:val="clear" w:color="auto" w:fill="BDD6EE"/>
          </w:tcPr>
          <w:p w:rsidR="00462DA8" w:rsidRPr="00530CB7" w:rsidRDefault="00462DA8" w:rsidP="00D743BD">
            <w:pPr>
              <w:spacing w:after="0"/>
              <w:rPr>
                <w:b/>
                <w:i/>
                <w:sz w:val="20"/>
                <w:szCs w:val="20"/>
                <w:lang w:val="en-GB"/>
              </w:rPr>
            </w:pPr>
            <w:r w:rsidRPr="00530CB7">
              <w:rPr>
                <w:b/>
                <w:i/>
                <w:sz w:val="20"/>
                <w:szCs w:val="20"/>
                <w:lang w:val="en-GB"/>
              </w:rPr>
              <w:t>Regulating services</w:t>
            </w: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 xml:space="preserve">Buffering and filtering of pollutants from surface waters 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 xml:space="preserve">Reduction of surface runoff  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Reduction of soil erosion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Protection from the flooding risk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9072" w:type="dxa"/>
            <w:gridSpan w:val="6"/>
            <w:shd w:val="clear" w:color="auto" w:fill="FFE599"/>
          </w:tcPr>
          <w:p w:rsidR="00462DA8" w:rsidRPr="00530CB7" w:rsidRDefault="00462DA8" w:rsidP="00D743BD">
            <w:pPr>
              <w:spacing w:after="0"/>
              <w:rPr>
                <w:b/>
                <w:i/>
                <w:sz w:val="20"/>
                <w:szCs w:val="20"/>
                <w:lang w:val="en-GB"/>
              </w:rPr>
            </w:pPr>
            <w:r w:rsidRPr="00530CB7">
              <w:rPr>
                <w:b/>
                <w:i/>
                <w:sz w:val="20"/>
                <w:szCs w:val="20"/>
                <w:lang w:val="en-GB"/>
              </w:rPr>
              <w:t>Supporting services</w:t>
            </w: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Provision of habitats for different species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Maintenance of genetic diversity in water ecosystem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9072" w:type="dxa"/>
            <w:gridSpan w:val="6"/>
            <w:shd w:val="clear" w:color="auto" w:fill="D5A8F0"/>
          </w:tcPr>
          <w:p w:rsidR="00462DA8" w:rsidRPr="00530CB7" w:rsidRDefault="00462DA8" w:rsidP="00D743BD">
            <w:pPr>
              <w:spacing w:after="0"/>
              <w:rPr>
                <w:b/>
                <w:i/>
                <w:sz w:val="20"/>
                <w:szCs w:val="20"/>
                <w:lang w:val="en-GB"/>
              </w:rPr>
            </w:pPr>
            <w:r w:rsidRPr="00530CB7">
              <w:rPr>
                <w:b/>
                <w:i/>
                <w:sz w:val="20"/>
                <w:szCs w:val="20"/>
                <w:lang w:val="en-GB"/>
              </w:rPr>
              <w:t>Cultural services</w:t>
            </w: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 xml:space="preserve">Provision of scenic landscape of forests and water bodies </w:t>
            </w:r>
            <w:r>
              <w:rPr>
                <w:sz w:val="20"/>
                <w:szCs w:val="20"/>
                <w:lang w:val="en-GB"/>
              </w:rPr>
              <w:t>(aesthetic values)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694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 xml:space="preserve">Provision of recreation and leisure activities of forests and water bodies </w:t>
            </w:r>
            <w:r>
              <w:rPr>
                <w:sz w:val="20"/>
                <w:szCs w:val="20"/>
                <w:lang w:val="en-GB"/>
              </w:rPr>
              <w:t>(recreation and tourism)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:rsidR="00462DA8" w:rsidRPr="00530CB7" w:rsidRDefault="00462DA8" w:rsidP="00462DA8">
      <w:pPr>
        <w:spacing w:after="0"/>
        <w:rPr>
          <w:lang w:val="en-GB"/>
        </w:rPr>
      </w:pPr>
    </w:p>
    <w:p w:rsidR="00462DA8" w:rsidRPr="00530CB7" w:rsidRDefault="00462DA8" w:rsidP="00462DA8">
      <w:pPr>
        <w:spacing w:after="120"/>
        <w:rPr>
          <w:lang w:val="en-GB"/>
        </w:rPr>
      </w:pPr>
      <w:r w:rsidRPr="00530CB7">
        <w:rPr>
          <w:rFonts w:eastAsia="Times New Roman"/>
          <w:lang w:val="en-GB"/>
        </w:rPr>
        <w:t xml:space="preserve">2.2. Considering the water ecosystem services included in provisioning, regulating, supporting, cultural services categories (Question 2.1), </w:t>
      </w:r>
      <w:r w:rsidRPr="00530CB7">
        <w:rPr>
          <w:lang w:val="en-GB"/>
        </w:rPr>
        <w:t>could you compare the importance of forests in providing each ecosystem services category based on your experience?</w:t>
      </w:r>
    </w:p>
    <w:p w:rsidR="00462DA8" w:rsidRPr="00530CB7" w:rsidRDefault="00462DA8" w:rsidP="00462DA8">
      <w:pPr>
        <w:spacing w:after="120"/>
        <w:rPr>
          <w:lang w:val="en-GB"/>
        </w:rPr>
      </w:pPr>
      <w:r w:rsidRPr="00530CB7">
        <w:rPr>
          <w:lang w:val="en-GB"/>
        </w:rPr>
        <w:t>(</w:t>
      </w:r>
      <w:r w:rsidRPr="00530CB7">
        <w:rPr>
          <w:b/>
          <w:lang w:val="en-GB"/>
        </w:rPr>
        <w:t>Example</w:t>
      </w:r>
      <w:r>
        <w:rPr>
          <w:b/>
          <w:lang w:val="en-GB"/>
        </w:rPr>
        <w:t xml:space="preserve"> </w:t>
      </w:r>
      <w:r w:rsidRPr="008F4935">
        <w:rPr>
          <w:b/>
          <w:lang w:val="en-GB"/>
        </w:rPr>
        <w:t xml:space="preserve">of </w:t>
      </w:r>
      <w:r>
        <w:rPr>
          <w:b/>
          <w:lang w:val="en-GB"/>
        </w:rPr>
        <w:t xml:space="preserve">the </w:t>
      </w:r>
      <w:r w:rsidRPr="008F4935">
        <w:rPr>
          <w:b/>
          <w:lang w:val="en-GB"/>
        </w:rPr>
        <w:t>first row:</w:t>
      </w:r>
      <w:r>
        <w:rPr>
          <w:lang w:val="en-GB"/>
        </w:rPr>
        <w:t xml:space="preserve"> In your opinion are w</w:t>
      </w:r>
      <w:r w:rsidRPr="00530CB7">
        <w:rPr>
          <w:lang w:val="en-GB"/>
        </w:rPr>
        <w:t>ater ecosystem services included in category of provisioning services more important/ equal /less important than water ecosystem services included in category of regulating services</w:t>
      </w:r>
      <w:r>
        <w:rPr>
          <w:lang w:val="en-GB"/>
        </w:rPr>
        <w:t>?</w:t>
      </w:r>
      <w:r w:rsidRPr="00530CB7">
        <w:rPr>
          <w:lang w:val="en-GB"/>
        </w:rPr>
        <w:t>)</w:t>
      </w:r>
      <w:r>
        <w:rPr>
          <w:lang w:val="en-GB"/>
        </w:rPr>
        <w:t xml:space="preserve"> Please mark your choice in </w:t>
      </w:r>
      <w:r w:rsidRPr="008A3ABF">
        <w:rPr>
          <w:b/>
          <w:lang w:val="en-GB"/>
        </w:rPr>
        <w:t>bold</w:t>
      </w:r>
      <w:r>
        <w:rPr>
          <w:lang w:val="en-GB"/>
        </w:rPr>
        <w:t>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1701"/>
        <w:gridCol w:w="851"/>
        <w:gridCol w:w="1417"/>
        <w:gridCol w:w="2268"/>
      </w:tblGrid>
      <w:tr w:rsidR="00462DA8" w:rsidRPr="00530CB7" w:rsidTr="00D743BD">
        <w:trPr>
          <w:trHeight w:val="1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Provisioning services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more important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equal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less important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Regulating services</w:t>
            </w:r>
          </w:p>
        </w:tc>
      </w:tr>
      <w:tr w:rsidR="00462DA8" w:rsidRPr="00530CB7" w:rsidTr="00D743BD">
        <w:trPr>
          <w:trHeight w:val="20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Provisioning services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more important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equal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less important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Supporting services</w:t>
            </w:r>
          </w:p>
        </w:tc>
      </w:tr>
      <w:tr w:rsidR="00462DA8" w:rsidRPr="00530CB7" w:rsidTr="00D743BD">
        <w:trPr>
          <w:trHeight w:val="20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Provisioning services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more important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equal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less important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8F0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Cultural services</w:t>
            </w:r>
          </w:p>
        </w:tc>
      </w:tr>
      <w:tr w:rsidR="00462DA8" w:rsidRPr="00530CB7" w:rsidTr="00D743BD">
        <w:trPr>
          <w:trHeight w:val="20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Regulating services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more important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equal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less important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Supporting services</w:t>
            </w:r>
          </w:p>
        </w:tc>
      </w:tr>
      <w:tr w:rsidR="00462DA8" w:rsidRPr="00530CB7" w:rsidTr="00D743BD">
        <w:trPr>
          <w:trHeight w:val="20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Regulating services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more important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equal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less important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8F0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Cultural services</w:t>
            </w:r>
          </w:p>
        </w:tc>
      </w:tr>
      <w:tr w:rsidR="00462DA8" w:rsidRPr="00530CB7" w:rsidTr="00D743BD">
        <w:trPr>
          <w:trHeight w:val="20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Supporting services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more important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equal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less important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8F0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Cultural services</w:t>
            </w:r>
          </w:p>
        </w:tc>
      </w:tr>
    </w:tbl>
    <w:p w:rsidR="00462DA8" w:rsidRPr="00530CB7" w:rsidRDefault="00462DA8" w:rsidP="00462DA8">
      <w:pPr>
        <w:spacing w:after="0"/>
        <w:rPr>
          <w:lang w:val="en-GB"/>
        </w:rPr>
      </w:pPr>
    </w:p>
    <w:p w:rsidR="00462DA8" w:rsidRPr="00530CB7" w:rsidRDefault="00462DA8" w:rsidP="00462DA8">
      <w:pPr>
        <w:spacing w:after="120"/>
        <w:rPr>
          <w:lang w:val="en-GB"/>
        </w:rPr>
      </w:pPr>
      <w:r w:rsidRPr="00530CB7">
        <w:rPr>
          <w:lang w:val="en-GB"/>
        </w:rPr>
        <w:t xml:space="preserve">2.3. Trade-offs occur when the provision of one </w:t>
      </w:r>
      <w:r>
        <w:rPr>
          <w:lang w:val="en-GB"/>
        </w:rPr>
        <w:t>ecosystem service</w:t>
      </w:r>
      <w:r w:rsidRPr="00530CB7">
        <w:rPr>
          <w:lang w:val="en-GB"/>
        </w:rPr>
        <w:t xml:space="preserve"> is reduced as a consequence of increased use of another </w:t>
      </w:r>
      <w:r>
        <w:rPr>
          <w:lang w:val="en-GB"/>
        </w:rPr>
        <w:t>ecosystem service</w:t>
      </w:r>
      <w:r w:rsidRPr="00530CB7">
        <w:rPr>
          <w:lang w:val="en-GB"/>
        </w:rPr>
        <w:t xml:space="preserve">. Do you think that </w:t>
      </w:r>
      <w:r w:rsidRPr="00674B1F">
        <w:rPr>
          <w:b/>
          <w:u w:val="single"/>
          <w:lang w:val="en-GB"/>
        </w:rPr>
        <w:t>forest management</w:t>
      </w:r>
      <w:r w:rsidRPr="00674B1F">
        <w:rPr>
          <w:u w:val="single"/>
          <w:lang w:val="en-GB"/>
        </w:rPr>
        <w:t xml:space="preserve"> can generate trade-offs between water ecosystem services</w:t>
      </w:r>
      <w:r w:rsidRPr="00530CB7">
        <w:rPr>
          <w:lang w:val="en-GB"/>
        </w:rPr>
        <w:t>?</w:t>
      </w:r>
    </w:p>
    <w:p w:rsidR="00462DA8" w:rsidRPr="00530CB7" w:rsidRDefault="00462DA8" w:rsidP="00462DA8">
      <w:pPr>
        <w:spacing w:after="0"/>
        <w:jc w:val="center"/>
        <w:rPr>
          <w:b/>
          <w:lang w:val="en-GB"/>
        </w:rPr>
      </w:pPr>
      <w:r w:rsidRPr="00530CB7">
        <w:rPr>
          <w:rFonts w:eastAsia="Times New Roman"/>
          <w:lang w:val="en-GB"/>
        </w:rPr>
        <w:sym w:font="Symbol" w:char="F07F"/>
      </w:r>
      <w:r w:rsidRPr="00530CB7">
        <w:rPr>
          <w:rFonts w:eastAsia="Times New Roman"/>
          <w:lang w:val="en-GB"/>
        </w:rPr>
        <w:t xml:space="preserve">  YES             </w:t>
      </w:r>
      <w:r w:rsidRPr="00530CB7">
        <w:rPr>
          <w:rFonts w:eastAsia="Times New Roman"/>
          <w:lang w:val="en-GB"/>
        </w:rPr>
        <w:sym w:font="Symbol" w:char="F07F"/>
      </w:r>
      <w:r w:rsidRPr="00530CB7">
        <w:rPr>
          <w:rFonts w:eastAsia="Times New Roman"/>
          <w:lang w:val="en-GB"/>
        </w:rPr>
        <w:t xml:space="preserve">  NO</w:t>
      </w:r>
    </w:p>
    <w:p w:rsidR="00462DA8" w:rsidRPr="00530CB7" w:rsidRDefault="00462DA8" w:rsidP="00462DA8">
      <w:pPr>
        <w:spacing w:after="0"/>
        <w:rPr>
          <w:lang w:val="en-GB"/>
        </w:rPr>
      </w:pPr>
      <w:r w:rsidRPr="00530CB7">
        <w:rPr>
          <w:lang w:val="en-GB"/>
        </w:rPr>
        <w:t>If “YES”, could you indicate among which water ecosystem services there is a trade-off please?</w:t>
      </w:r>
    </w:p>
    <w:p w:rsidR="00462DA8" w:rsidRPr="00530CB7" w:rsidRDefault="00462DA8" w:rsidP="00462DA8">
      <w:pPr>
        <w:spacing w:after="0"/>
        <w:rPr>
          <w:lang w:val="en-GB"/>
        </w:rPr>
      </w:pPr>
      <w:r w:rsidRPr="00530CB7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DA8" w:rsidRPr="00530CB7" w:rsidRDefault="00462DA8" w:rsidP="00462DA8">
      <w:pPr>
        <w:spacing w:after="0"/>
        <w:rPr>
          <w:b/>
          <w:lang w:val="en-GB"/>
        </w:rPr>
      </w:pPr>
    </w:p>
    <w:p w:rsidR="00462DA8" w:rsidRPr="00530CB7" w:rsidRDefault="00462DA8" w:rsidP="00462DA8">
      <w:pPr>
        <w:spacing w:after="120"/>
        <w:rPr>
          <w:lang w:val="en-GB"/>
        </w:rPr>
      </w:pPr>
      <w:r w:rsidRPr="00530CB7">
        <w:rPr>
          <w:lang w:val="en-GB"/>
        </w:rPr>
        <w:t xml:space="preserve">2.4. Do you think that </w:t>
      </w:r>
      <w:r w:rsidRPr="00674B1F">
        <w:rPr>
          <w:b/>
          <w:u w:val="single"/>
          <w:lang w:val="en-GB"/>
        </w:rPr>
        <w:t>afforestation/reforestation</w:t>
      </w:r>
      <w:r w:rsidRPr="00674B1F">
        <w:rPr>
          <w:u w:val="single"/>
          <w:lang w:val="en-GB"/>
        </w:rPr>
        <w:t xml:space="preserve"> can generate trade-offs between water ecosystem services</w:t>
      </w:r>
      <w:r w:rsidRPr="00530CB7">
        <w:rPr>
          <w:lang w:val="en-GB"/>
        </w:rPr>
        <w:t>?</w:t>
      </w:r>
    </w:p>
    <w:p w:rsidR="00462DA8" w:rsidRPr="00530CB7" w:rsidRDefault="00462DA8" w:rsidP="00462DA8">
      <w:pPr>
        <w:spacing w:after="0"/>
        <w:jc w:val="center"/>
        <w:rPr>
          <w:b/>
          <w:lang w:val="en-GB"/>
        </w:rPr>
      </w:pPr>
      <w:r w:rsidRPr="00530CB7">
        <w:rPr>
          <w:rFonts w:eastAsia="Times New Roman"/>
          <w:lang w:val="en-GB"/>
        </w:rPr>
        <w:sym w:font="Symbol" w:char="F07F"/>
      </w:r>
      <w:r w:rsidRPr="00530CB7">
        <w:rPr>
          <w:rFonts w:eastAsia="Times New Roman"/>
          <w:lang w:val="en-GB"/>
        </w:rPr>
        <w:t xml:space="preserve">  YES             </w:t>
      </w:r>
      <w:r w:rsidRPr="00530CB7">
        <w:rPr>
          <w:rFonts w:eastAsia="Times New Roman"/>
          <w:lang w:val="en-GB"/>
        </w:rPr>
        <w:sym w:font="Symbol" w:char="F07F"/>
      </w:r>
      <w:r w:rsidRPr="00530CB7">
        <w:rPr>
          <w:rFonts w:eastAsia="Times New Roman"/>
          <w:lang w:val="en-GB"/>
        </w:rPr>
        <w:t xml:space="preserve">  NO</w:t>
      </w:r>
    </w:p>
    <w:p w:rsidR="00462DA8" w:rsidRPr="00530CB7" w:rsidRDefault="00462DA8" w:rsidP="00462DA8">
      <w:pPr>
        <w:spacing w:after="0"/>
        <w:rPr>
          <w:lang w:val="en-GB"/>
        </w:rPr>
      </w:pPr>
      <w:r w:rsidRPr="00530CB7">
        <w:rPr>
          <w:lang w:val="en-GB"/>
        </w:rPr>
        <w:t>If “YES”, could you indicate among which water ecosystem services there is a trade-off please?</w:t>
      </w:r>
    </w:p>
    <w:p w:rsidR="00462DA8" w:rsidRPr="00530CB7" w:rsidRDefault="00462DA8" w:rsidP="00462DA8">
      <w:pPr>
        <w:spacing w:after="0"/>
        <w:rPr>
          <w:lang w:val="en-GB"/>
        </w:rPr>
      </w:pPr>
      <w:r w:rsidRPr="00530CB7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DA8" w:rsidRPr="00530CB7" w:rsidRDefault="00462DA8" w:rsidP="00462DA8">
      <w:pPr>
        <w:spacing w:after="0"/>
        <w:rPr>
          <w:b/>
          <w:lang w:val="en-GB"/>
        </w:rPr>
      </w:pPr>
    </w:p>
    <w:p w:rsidR="00462DA8" w:rsidRPr="00530CB7" w:rsidRDefault="00462DA8" w:rsidP="00462DA8">
      <w:pPr>
        <w:spacing w:after="120"/>
        <w:rPr>
          <w:b/>
          <w:lang w:val="en-GB"/>
        </w:rPr>
      </w:pPr>
      <w:r w:rsidRPr="00530CB7">
        <w:rPr>
          <w:b/>
          <w:lang w:val="en-GB"/>
        </w:rPr>
        <w:t>Section 3. Payment for Ecosystem Services (PES) schemes</w:t>
      </w:r>
    </w:p>
    <w:p w:rsidR="00462DA8" w:rsidRPr="00530CB7" w:rsidRDefault="00462DA8" w:rsidP="00462DA8">
      <w:pPr>
        <w:spacing w:after="120"/>
        <w:rPr>
          <w:rFonts w:eastAsia="Times New Roman"/>
          <w:lang w:val="en-GB"/>
        </w:rPr>
      </w:pPr>
      <w:r w:rsidRPr="00530CB7">
        <w:rPr>
          <w:lang w:val="en-GB"/>
        </w:rPr>
        <w:t xml:space="preserve">3.1. </w:t>
      </w:r>
      <w:bookmarkStart w:id="0" w:name="_Hlk37153446"/>
      <w:r w:rsidRPr="00530CB7">
        <w:rPr>
          <w:lang w:val="en-GB"/>
        </w:rPr>
        <w:t>In your opinion, how efficient are the PES schemes compared to the</w:t>
      </w:r>
      <w:r>
        <w:rPr>
          <w:lang w:val="en-GB"/>
        </w:rPr>
        <w:t xml:space="preserve"> use of </w:t>
      </w:r>
      <w:r w:rsidRPr="00530CB7">
        <w:rPr>
          <w:lang w:val="en-GB"/>
        </w:rPr>
        <w:t xml:space="preserve">regulation policy instruments </w:t>
      </w:r>
      <w:r>
        <w:rPr>
          <w:lang w:val="en-GB"/>
        </w:rPr>
        <w:t>(e.g., environmental taxes</w:t>
      </w:r>
      <w:r w:rsidRPr="00530CB7">
        <w:rPr>
          <w:lang w:val="en-GB"/>
        </w:rPr>
        <w:t xml:space="preserve">) to protect and sustain the ecosystem services provided by forests? </w:t>
      </w:r>
    </w:p>
    <w:bookmarkEnd w:id="0"/>
    <w:p w:rsidR="00462DA8" w:rsidRPr="00530CB7" w:rsidRDefault="00462DA8" w:rsidP="00462DA8">
      <w:pPr>
        <w:spacing w:after="120"/>
        <w:jc w:val="center"/>
        <w:rPr>
          <w:rFonts w:eastAsia="Times New Roman"/>
          <w:lang w:val="en-GB"/>
        </w:rPr>
      </w:pPr>
      <w:r w:rsidRPr="00530CB7">
        <w:rPr>
          <w:rFonts w:eastAsia="Times New Roman"/>
          <w:lang w:val="en-GB"/>
        </w:rPr>
        <w:lastRenderedPageBreak/>
        <w:sym w:font="Symbol" w:char="F07F"/>
      </w:r>
      <w:r w:rsidRPr="00530CB7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Less efficient</w:t>
      </w:r>
      <w:r w:rsidRPr="00530CB7">
        <w:rPr>
          <w:rFonts w:eastAsia="Times New Roman"/>
          <w:lang w:val="en-GB"/>
        </w:rPr>
        <w:t xml:space="preserve">           </w:t>
      </w:r>
      <w:r w:rsidRPr="00530CB7">
        <w:rPr>
          <w:rFonts w:eastAsia="Times New Roman"/>
          <w:lang w:val="en-GB"/>
        </w:rPr>
        <w:sym w:font="Symbol" w:char="F07F"/>
      </w:r>
      <w:r w:rsidRPr="00530CB7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Equal</w:t>
      </w:r>
      <w:r w:rsidRPr="00530CB7">
        <w:rPr>
          <w:rFonts w:eastAsia="Times New Roman"/>
          <w:lang w:val="en-GB"/>
        </w:rPr>
        <w:t xml:space="preserve">            </w:t>
      </w:r>
      <w:r w:rsidRPr="00530CB7">
        <w:rPr>
          <w:rFonts w:eastAsia="Times New Roman"/>
          <w:lang w:val="en-GB"/>
        </w:rPr>
        <w:sym w:font="Symbol" w:char="F07F"/>
      </w:r>
      <w:r w:rsidRPr="00530CB7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More efficient</w:t>
      </w:r>
    </w:p>
    <w:p w:rsidR="00462DA8" w:rsidRPr="00530CB7" w:rsidRDefault="00462DA8" w:rsidP="00462DA8">
      <w:pPr>
        <w:spacing w:after="0"/>
        <w:ind w:left="2835" w:firstLine="709"/>
        <w:rPr>
          <w:lang w:val="en-GB"/>
        </w:rPr>
      </w:pPr>
    </w:p>
    <w:p w:rsidR="00462DA8" w:rsidRPr="00530CB7" w:rsidRDefault="00462DA8" w:rsidP="00462DA8">
      <w:pPr>
        <w:spacing w:after="120"/>
        <w:rPr>
          <w:rFonts w:eastAsia="Times New Roman"/>
          <w:lang w:val="en-GB"/>
        </w:rPr>
      </w:pPr>
      <w:r w:rsidRPr="00530CB7">
        <w:rPr>
          <w:lang w:val="en-GB"/>
        </w:rPr>
        <w:t xml:space="preserve">3.2. </w:t>
      </w:r>
      <w:bookmarkStart w:id="1" w:name="_Hlk37155825"/>
      <w:r w:rsidRPr="00530CB7">
        <w:rPr>
          <w:lang w:val="en-GB"/>
        </w:rPr>
        <w:t>What is</w:t>
      </w:r>
      <w:r>
        <w:rPr>
          <w:lang w:val="en-GB"/>
        </w:rPr>
        <w:t>,</w:t>
      </w:r>
      <w:r w:rsidRPr="00530CB7">
        <w:rPr>
          <w:lang w:val="en-GB"/>
        </w:rPr>
        <w:t xml:space="preserve"> in your opinion, the level of importance of the following aspects in the implementation of PES scheme</w:t>
      </w:r>
      <w:r>
        <w:rPr>
          <w:lang w:val="en-GB"/>
        </w:rPr>
        <w:t>s</w:t>
      </w:r>
      <w:r w:rsidRPr="00530CB7">
        <w:rPr>
          <w:lang w:val="en-GB"/>
        </w:rPr>
        <w:t xml:space="preserve"> related to the water ecosystem services? Please indicate your preference with “X” in each row.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  <w:gridCol w:w="426"/>
      </w:tblGrid>
      <w:tr w:rsidR="00462DA8" w:rsidRPr="00530CB7" w:rsidTr="00D743BD">
        <w:trPr>
          <w:trHeight w:val="136"/>
        </w:trPr>
        <w:tc>
          <w:tcPr>
            <w:tcW w:w="7371" w:type="dxa"/>
            <w:shd w:val="clear" w:color="auto" w:fill="auto"/>
          </w:tcPr>
          <w:bookmarkEnd w:id="1"/>
          <w:p w:rsidR="00462DA8" w:rsidRPr="00530CB7" w:rsidRDefault="00462DA8" w:rsidP="00D743B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Implementation aspects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462DA8" w:rsidRPr="00530CB7" w:rsidTr="00D743BD">
        <w:tc>
          <w:tcPr>
            <w:tcW w:w="7371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bookmarkStart w:id="2" w:name="_Hlk37155927"/>
            <w:r w:rsidRPr="00530CB7">
              <w:rPr>
                <w:b/>
                <w:sz w:val="20"/>
                <w:szCs w:val="20"/>
                <w:lang w:val="en-GB"/>
              </w:rPr>
              <w:t>Multi-level governance</w:t>
            </w:r>
            <w:r w:rsidRPr="00530CB7">
              <w:rPr>
                <w:sz w:val="20"/>
                <w:szCs w:val="20"/>
                <w:lang w:val="en-GB"/>
              </w:rPr>
              <w:t>: incorporating local and indigenous knowledge about ecosystem services and payment mechanisms in the decision-making process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7371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Shared values for ecosystem services:</w:t>
            </w:r>
            <w:r w:rsidRPr="00530CB7">
              <w:rPr>
                <w:sz w:val="20"/>
                <w:szCs w:val="20"/>
                <w:lang w:val="en-GB"/>
              </w:rPr>
              <w:t xml:space="preserve"> understanding the various value</w:t>
            </w:r>
            <w:r>
              <w:rPr>
                <w:sz w:val="20"/>
                <w:szCs w:val="20"/>
                <w:lang w:val="en-GB"/>
              </w:rPr>
              <w:t>s (e.g., ecological, ethical values)</w:t>
            </w:r>
            <w:r w:rsidRPr="00530CB7">
              <w:rPr>
                <w:sz w:val="20"/>
                <w:szCs w:val="20"/>
                <w:lang w:val="en-GB"/>
              </w:rPr>
              <w:t xml:space="preserve"> that can be shared by different groups within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Pr="00530CB7">
              <w:rPr>
                <w:sz w:val="20"/>
                <w:szCs w:val="20"/>
                <w:lang w:val="en-GB"/>
              </w:rPr>
              <w:t>society in relation to the natural environment.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7371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Bundling or layering of services across multiple scales</w:t>
            </w:r>
            <w:r w:rsidRPr="00530CB7">
              <w:rPr>
                <w:sz w:val="20"/>
                <w:szCs w:val="20"/>
                <w:lang w:val="en-GB"/>
              </w:rPr>
              <w:t>: considering the trade-off between ecosystem services provided by forests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bookmarkEnd w:id="2"/>
    </w:tbl>
    <w:p w:rsidR="00462DA8" w:rsidRPr="00530CB7" w:rsidRDefault="00462DA8" w:rsidP="00462DA8">
      <w:pPr>
        <w:spacing w:after="0"/>
        <w:rPr>
          <w:lang w:val="en-GB"/>
        </w:rPr>
      </w:pPr>
    </w:p>
    <w:p w:rsidR="00462DA8" w:rsidRPr="00530CB7" w:rsidRDefault="00462DA8" w:rsidP="00462DA8">
      <w:pPr>
        <w:spacing w:after="120"/>
        <w:rPr>
          <w:lang w:val="en-GB"/>
        </w:rPr>
      </w:pPr>
      <w:r w:rsidRPr="00530CB7">
        <w:rPr>
          <w:lang w:val="en-GB"/>
        </w:rPr>
        <w:t xml:space="preserve">3.3. What is in your opinion, the level of importance of the following factors to </w:t>
      </w:r>
      <w:bookmarkStart w:id="3" w:name="_Hlk37079227"/>
      <w:r w:rsidRPr="00530CB7">
        <w:rPr>
          <w:lang w:val="en-GB"/>
        </w:rPr>
        <w:t>determine the environmental effectiveness</w:t>
      </w:r>
      <w:r w:rsidRPr="00530CB7">
        <w:rPr>
          <w:rStyle w:val="Rimandonotaapidipagina"/>
          <w:lang w:val="en-GB"/>
        </w:rPr>
        <w:footnoteReference w:id="2"/>
      </w:r>
      <w:r w:rsidRPr="00530CB7">
        <w:rPr>
          <w:lang w:val="en-GB"/>
        </w:rPr>
        <w:t xml:space="preserve"> of PES schemes related to the water ecosystem services</w:t>
      </w:r>
      <w:bookmarkEnd w:id="3"/>
      <w:r w:rsidRPr="00530CB7">
        <w:rPr>
          <w:lang w:val="en-GB"/>
        </w:rPr>
        <w:t>?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  <w:gridCol w:w="426"/>
      </w:tblGrid>
      <w:tr w:rsidR="00462DA8" w:rsidRPr="00530CB7" w:rsidTr="00D743BD">
        <w:trPr>
          <w:trHeight w:val="136"/>
        </w:trPr>
        <w:tc>
          <w:tcPr>
            <w:tcW w:w="7371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Environmental effectiveness factors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30CB7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462DA8" w:rsidRPr="00530CB7" w:rsidTr="00D743BD">
        <w:tc>
          <w:tcPr>
            <w:tcW w:w="7371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Transaction and implementation costs net of PES transfers which determine the number of contracts that can be offered from a given program budget (e.g.</w:t>
            </w:r>
            <w:r>
              <w:rPr>
                <w:sz w:val="20"/>
                <w:szCs w:val="20"/>
                <w:lang w:val="en-GB"/>
              </w:rPr>
              <w:t>, B</w:t>
            </w:r>
            <w:r w:rsidRPr="00530CB7">
              <w:rPr>
                <w:sz w:val="20"/>
                <w:szCs w:val="20"/>
                <w:lang w:val="en-GB"/>
              </w:rPr>
              <w:t xml:space="preserve">uyers do not have perfect information on the costs associated with PES enrolment, and hence payments will tend to overcompensate providers). 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c>
          <w:tcPr>
            <w:tcW w:w="7371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The direct changes in management activities among participants induced by the program compared to the traditional management activities (without PES)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62DA8" w:rsidRPr="00530CB7" w:rsidTr="00D743BD">
        <w:trPr>
          <w:trHeight w:val="56"/>
        </w:trPr>
        <w:tc>
          <w:tcPr>
            <w:tcW w:w="7371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The indirect positive or negative effects of the change in management activities on ecosystem services provision outside of contracted land (neighbouring areas)</w:t>
            </w: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:rsidR="00462DA8" w:rsidRPr="00530CB7" w:rsidRDefault="00462DA8" w:rsidP="00462DA8">
      <w:pPr>
        <w:spacing w:after="0"/>
        <w:rPr>
          <w:b/>
          <w:lang w:val="en-GB"/>
        </w:rPr>
      </w:pPr>
    </w:p>
    <w:p w:rsidR="00462DA8" w:rsidRPr="00530CB7" w:rsidRDefault="00462DA8" w:rsidP="00462DA8">
      <w:pPr>
        <w:spacing w:after="120"/>
        <w:rPr>
          <w:b/>
          <w:lang w:val="en-GB"/>
        </w:rPr>
      </w:pPr>
      <w:r w:rsidRPr="00530CB7">
        <w:rPr>
          <w:b/>
          <w:lang w:val="en-GB"/>
        </w:rPr>
        <w:t>Section 4. Stakeholders’ involvement in the PES schemes</w:t>
      </w:r>
    </w:p>
    <w:p w:rsidR="00462DA8" w:rsidRPr="00892AC2" w:rsidRDefault="00462DA8" w:rsidP="00462DA8">
      <w:pPr>
        <w:spacing w:after="120"/>
        <w:rPr>
          <w:lang w:val="en-US"/>
        </w:rPr>
      </w:pPr>
      <w:r w:rsidRPr="00530CB7">
        <w:rPr>
          <w:lang w:val="en-GB"/>
        </w:rPr>
        <w:t xml:space="preserve">4.1. What the </w:t>
      </w:r>
      <w:r w:rsidRPr="00530CB7">
        <w:rPr>
          <w:b/>
          <w:lang w:val="en-GB"/>
        </w:rPr>
        <w:t>role of the public authorities</w:t>
      </w:r>
      <w:r w:rsidRPr="00530CB7">
        <w:rPr>
          <w:lang w:val="en-GB"/>
        </w:rPr>
        <w:t xml:space="preserve"> should be in PES schemes in water sector (payments for </w:t>
      </w:r>
      <w:r>
        <w:rPr>
          <w:rFonts w:cs="Times New Roman"/>
          <w:lang w:val="en-GB"/>
        </w:rPr>
        <w:t>water-related ecosystem services</w:t>
      </w:r>
      <w:r w:rsidRPr="00530CB7">
        <w:rPr>
          <w:lang w:val="en-GB"/>
        </w:rPr>
        <w:t>) (possible multi-answer)?</w:t>
      </w:r>
    </w:p>
    <w:p w:rsidR="00462DA8" w:rsidRPr="00530CB7" w:rsidRDefault="00462DA8" w:rsidP="00462DA8">
      <w:pPr>
        <w:numPr>
          <w:ilvl w:val="0"/>
          <w:numId w:val="2"/>
        </w:numPr>
        <w:spacing w:after="80"/>
        <w:ind w:left="357" w:hanging="357"/>
        <w:rPr>
          <w:lang w:val="en-GB"/>
        </w:rPr>
      </w:pPr>
      <w:r w:rsidRPr="00530CB7">
        <w:rPr>
          <w:lang w:val="en-GB"/>
        </w:rPr>
        <w:t xml:space="preserve">Payments for </w:t>
      </w:r>
      <w:r>
        <w:rPr>
          <w:rFonts w:cs="Times New Roman"/>
          <w:lang w:val="en-GB"/>
        </w:rPr>
        <w:t xml:space="preserve">water-related ecosystem services </w:t>
      </w:r>
      <w:r w:rsidRPr="00530CB7">
        <w:rPr>
          <w:lang w:val="en-GB"/>
        </w:rPr>
        <w:t>should be managed without any intervention from the public authorities (i.e. user-and non-government financed payments)</w:t>
      </w:r>
    </w:p>
    <w:p w:rsidR="00462DA8" w:rsidRPr="00530CB7" w:rsidRDefault="00462DA8" w:rsidP="00462DA8">
      <w:pPr>
        <w:numPr>
          <w:ilvl w:val="0"/>
          <w:numId w:val="2"/>
        </w:numPr>
        <w:spacing w:after="80"/>
        <w:ind w:left="357" w:hanging="357"/>
        <w:rPr>
          <w:lang w:val="en-GB"/>
        </w:rPr>
      </w:pPr>
      <w:r w:rsidRPr="00530CB7">
        <w:rPr>
          <w:lang w:val="en-GB"/>
        </w:rPr>
        <w:t xml:space="preserve">Public authority </w:t>
      </w:r>
      <w:bookmarkStart w:id="4" w:name="_Hlk37150798"/>
      <w:r w:rsidRPr="00530CB7">
        <w:rPr>
          <w:lang w:val="en-GB"/>
        </w:rPr>
        <w:t xml:space="preserve">should be involved as a buyer </w:t>
      </w:r>
      <w:bookmarkEnd w:id="4"/>
      <w:r w:rsidRPr="00530CB7">
        <w:rPr>
          <w:lang w:val="en-GB"/>
        </w:rPr>
        <w:t>(i.e. government-financed payments such as the European Union agri-environmental schemes)</w:t>
      </w:r>
    </w:p>
    <w:p w:rsidR="00462DA8" w:rsidRPr="00530CB7" w:rsidRDefault="00462DA8" w:rsidP="00462DA8">
      <w:pPr>
        <w:numPr>
          <w:ilvl w:val="0"/>
          <w:numId w:val="2"/>
        </w:numPr>
        <w:spacing w:after="80"/>
        <w:ind w:left="357" w:hanging="357"/>
        <w:rPr>
          <w:lang w:val="en-GB"/>
        </w:rPr>
      </w:pPr>
      <w:r w:rsidRPr="00530CB7">
        <w:rPr>
          <w:lang w:val="en-GB"/>
        </w:rPr>
        <w:t>Public authority should be involved as a regulator (i.e. compliant payments)</w:t>
      </w:r>
    </w:p>
    <w:p w:rsidR="00462DA8" w:rsidRPr="00530CB7" w:rsidRDefault="00462DA8" w:rsidP="00462DA8">
      <w:pPr>
        <w:numPr>
          <w:ilvl w:val="0"/>
          <w:numId w:val="2"/>
        </w:numPr>
        <w:spacing w:after="80"/>
        <w:ind w:left="357" w:hanging="357"/>
        <w:rPr>
          <w:lang w:val="en-GB"/>
        </w:rPr>
      </w:pPr>
      <w:r w:rsidRPr="00530CB7">
        <w:rPr>
          <w:lang w:val="en-GB"/>
        </w:rPr>
        <w:t>Public authority should be involved both as buyer and as regulator (i.e. compensation payments for legal restriction)</w:t>
      </w:r>
    </w:p>
    <w:p w:rsidR="00462DA8" w:rsidRPr="00530CB7" w:rsidRDefault="00462DA8" w:rsidP="00462DA8">
      <w:pPr>
        <w:spacing w:after="80"/>
        <w:ind w:left="357"/>
        <w:rPr>
          <w:lang w:val="en-GB"/>
        </w:rPr>
      </w:pPr>
    </w:p>
    <w:p w:rsidR="00462DA8" w:rsidRPr="00892AC2" w:rsidRDefault="00462DA8" w:rsidP="00462DA8">
      <w:pPr>
        <w:spacing w:after="120"/>
        <w:rPr>
          <w:lang w:val="en-US"/>
        </w:rPr>
      </w:pPr>
      <w:r w:rsidRPr="00530CB7">
        <w:rPr>
          <w:lang w:val="en-GB"/>
        </w:rPr>
        <w:t xml:space="preserve">4.2. </w:t>
      </w:r>
      <w:r w:rsidRPr="00892AC2">
        <w:rPr>
          <w:lang w:val="en-US"/>
        </w:rPr>
        <w:t>The main actors involved in PES schemes can be divided into three main categories:</w:t>
      </w:r>
    </w:p>
    <w:p w:rsidR="00462DA8" w:rsidRPr="00892AC2" w:rsidRDefault="00462DA8" w:rsidP="00462DA8">
      <w:pPr>
        <w:numPr>
          <w:ilvl w:val="0"/>
          <w:numId w:val="3"/>
        </w:numPr>
        <w:spacing w:after="120"/>
        <w:rPr>
          <w:lang w:val="en-US"/>
        </w:rPr>
      </w:pPr>
      <w:r w:rsidRPr="00892AC2">
        <w:rPr>
          <w:lang w:val="en-US"/>
        </w:rPr>
        <w:t>Buyers (side of the demand - i.e. state, private)</w:t>
      </w:r>
      <w:r>
        <w:rPr>
          <w:lang w:val="en-US"/>
        </w:rPr>
        <w:t>,</w:t>
      </w:r>
    </w:p>
    <w:p w:rsidR="00462DA8" w:rsidRDefault="00462DA8" w:rsidP="00462DA8">
      <w:pPr>
        <w:numPr>
          <w:ilvl w:val="0"/>
          <w:numId w:val="3"/>
        </w:numPr>
        <w:spacing w:after="120"/>
        <w:rPr>
          <w:lang w:val="en-US"/>
        </w:rPr>
      </w:pPr>
      <w:r w:rsidRPr="00892AC2">
        <w:rPr>
          <w:lang w:val="en-US"/>
        </w:rPr>
        <w:t>Sellers (side of the supply - i.e. state and non-state forest owners)</w:t>
      </w:r>
      <w:r>
        <w:rPr>
          <w:lang w:val="en-US"/>
        </w:rPr>
        <w:t>,</w:t>
      </w:r>
    </w:p>
    <w:p w:rsidR="00462DA8" w:rsidRPr="00892AC2" w:rsidRDefault="00462DA8" w:rsidP="00462DA8">
      <w:pPr>
        <w:numPr>
          <w:ilvl w:val="0"/>
          <w:numId w:val="3"/>
        </w:numPr>
        <w:spacing w:after="120"/>
        <w:rPr>
          <w:lang w:val="en-US"/>
        </w:rPr>
      </w:pPr>
      <w:r>
        <w:rPr>
          <w:lang w:val="en-US"/>
        </w:rPr>
        <w:t>Intermediaries,</w:t>
      </w:r>
    </w:p>
    <w:p w:rsidR="00462DA8" w:rsidRPr="002072DE" w:rsidRDefault="00462DA8" w:rsidP="00462DA8">
      <w:pPr>
        <w:numPr>
          <w:ilvl w:val="0"/>
          <w:numId w:val="3"/>
        </w:numPr>
        <w:spacing w:after="120"/>
      </w:pPr>
      <w:r w:rsidRPr="002072DE">
        <w:t>Knowledgeproviders.</w:t>
      </w:r>
    </w:p>
    <w:p w:rsidR="00462DA8" w:rsidRPr="00530CB7" w:rsidRDefault="00462DA8" w:rsidP="00462DA8">
      <w:pPr>
        <w:spacing w:after="120"/>
        <w:rPr>
          <w:rFonts w:eastAsia="Times New Roman"/>
          <w:lang w:val="en-GB"/>
        </w:rPr>
      </w:pPr>
      <w:bookmarkStart w:id="5" w:name="_Hlk37151085"/>
      <w:r w:rsidRPr="00530CB7">
        <w:rPr>
          <w:lang w:val="en-GB"/>
        </w:rPr>
        <w:lastRenderedPageBreak/>
        <w:t xml:space="preserve">In your opinion, </w:t>
      </w:r>
      <w:r w:rsidRPr="002072DE">
        <w:rPr>
          <w:u w:val="single"/>
          <w:lang w:val="en-GB"/>
        </w:rPr>
        <w:t xml:space="preserve">how the following </w:t>
      </w:r>
      <w:r w:rsidRPr="002072DE">
        <w:rPr>
          <w:b/>
          <w:u w:val="single"/>
          <w:lang w:val="en-GB"/>
        </w:rPr>
        <w:t>other stakeholders</w:t>
      </w:r>
      <w:r w:rsidRPr="0041652C">
        <w:rPr>
          <w:b/>
          <w:lang w:val="en-GB"/>
        </w:rPr>
        <w:t xml:space="preserve"> </w:t>
      </w:r>
      <w:r w:rsidRPr="00072205">
        <w:rPr>
          <w:lang w:val="en-GB"/>
        </w:rPr>
        <w:t>(listed in the table below)</w:t>
      </w:r>
      <w:r>
        <w:rPr>
          <w:lang w:val="en-GB"/>
        </w:rPr>
        <w:t xml:space="preserve"> </w:t>
      </w:r>
      <w:r w:rsidRPr="002072DE">
        <w:rPr>
          <w:u w:val="single"/>
          <w:lang w:val="en-GB"/>
        </w:rPr>
        <w:t>should be involved in the decision-making process related to the PES schemes</w:t>
      </w:r>
      <w:r w:rsidRPr="00530CB7">
        <w:rPr>
          <w:lang w:val="en-GB"/>
        </w:rPr>
        <w:t xml:space="preserve"> in </w:t>
      </w:r>
      <w:r>
        <w:rPr>
          <w:lang w:val="en-GB"/>
        </w:rPr>
        <w:t xml:space="preserve">the </w:t>
      </w:r>
      <w:r w:rsidRPr="00530CB7">
        <w:rPr>
          <w:lang w:val="en-GB"/>
        </w:rPr>
        <w:t>water sector</w:t>
      </w:r>
      <w:bookmarkEnd w:id="5"/>
      <w:r w:rsidRPr="00530CB7">
        <w:rPr>
          <w:lang w:val="en-GB"/>
        </w:rPr>
        <w:t>? Please indicate your preference with “</w:t>
      </w:r>
      <w:r w:rsidRPr="003D61AD">
        <w:rPr>
          <w:lang w:val="en-GB"/>
        </w:rPr>
        <w:t>X</w:t>
      </w:r>
      <w:r w:rsidRPr="00530CB7">
        <w:rPr>
          <w:lang w:val="en-GB"/>
        </w:rPr>
        <w:t>” in each row.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417"/>
        <w:gridCol w:w="1276"/>
      </w:tblGrid>
      <w:tr w:rsidR="00462DA8" w:rsidRPr="00530CB7" w:rsidTr="00D743B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Not involved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Consultation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Collaboration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Co-decision</w:t>
            </w:r>
          </w:p>
        </w:tc>
      </w:tr>
      <w:tr w:rsidR="00462DA8" w:rsidRPr="00530CB7" w:rsidTr="00D743BD">
        <w:trPr>
          <w:trHeight w:val="2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Single farmers not directly involved in the PES scheme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</w:tr>
      <w:tr w:rsidR="00462DA8" w:rsidRPr="00530CB7" w:rsidTr="00D743BD">
        <w:trPr>
          <w:trHeight w:val="2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2D03E3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1D7CC8">
              <w:rPr>
                <w:rFonts w:eastAsia="Times New Roman" w:cs="Times New Roman"/>
                <w:color w:val="333333"/>
                <w:sz w:val="20"/>
                <w:szCs w:val="20"/>
                <w:lang w:val="en-GB" w:eastAsia="sk-SK"/>
              </w:rPr>
              <w:t>Single forest owners not directly involved in the PES scheme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</w:tr>
      <w:tr w:rsidR="00462DA8" w:rsidRPr="00530CB7" w:rsidTr="00D743BD">
        <w:trPr>
          <w:trHeight w:val="2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Environmental NGOs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</w:tr>
      <w:tr w:rsidR="00462DA8" w:rsidRPr="00530CB7" w:rsidTr="00D743BD">
        <w:trPr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Tourism associations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</w:tr>
      <w:tr w:rsidR="00462DA8" w:rsidRPr="00530CB7" w:rsidTr="00D743BD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Agricultural and farmers associations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</w:tr>
      <w:tr w:rsidR="00462DA8" w:rsidRPr="00530CB7" w:rsidTr="00D743BD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Fishing associations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</w:tr>
      <w:tr w:rsidR="00462DA8" w:rsidRPr="00530CB7" w:rsidTr="00D743BD">
        <w:trPr>
          <w:trHeight w:val="1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Citizens (local community)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</w:tr>
      <w:tr w:rsidR="00462DA8" w:rsidRPr="00530CB7" w:rsidTr="00D743BD">
        <w:trPr>
          <w:trHeight w:val="1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A8" w:rsidRPr="00530CB7" w:rsidRDefault="00462DA8" w:rsidP="00D743BD">
            <w:pPr>
              <w:spacing w:after="0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Other (__________________)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A8" w:rsidRPr="00530CB7" w:rsidRDefault="00462DA8" w:rsidP="00D743BD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0CB7">
              <w:rPr>
                <w:sz w:val="20"/>
                <w:szCs w:val="20"/>
                <w:lang w:val="en-GB"/>
              </w:rPr>
              <w:t></w:t>
            </w:r>
          </w:p>
        </w:tc>
      </w:tr>
    </w:tbl>
    <w:p w:rsidR="00462DA8" w:rsidRPr="00530CB7" w:rsidRDefault="00462DA8" w:rsidP="00462DA8">
      <w:pPr>
        <w:spacing w:after="0"/>
        <w:rPr>
          <w:lang w:val="en-GB"/>
        </w:rPr>
      </w:pPr>
    </w:p>
    <w:p w:rsidR="00462DA8" w:rsidRPr="002072DE" w:rsidRDefault="00462DA8" w:rsidP="00462DA8">
      <w:pPr>
        <w:spacing w:after="0"/>
        <w:jc w:val="center"/>
        <w:rPr>
          <w:b/>
          <w:i/>
          <w:lang w:val="en-GB"/>
        </w:rPr>
      </w:pPr>
      <w:r w:rsidRPr="002072DE">
        <w:rPr>
          <w:b/>
          <w:i/>
          <w:lang w:val="en-GB"/>
        </w:rPr>
        <w:t>Thank you very much for your help.</w:t>
      </w:r>
    </w:p>
    <w:p w:rsidR="003C6DFB" w:rsidRPr="00462DA8" w:rsidRDefault="003C6DFB">
      <w:pPr>
        <w:rPr>
          <w:lang w:val="en-GB"/>
        </w:rPr>
      </w:pPr>
      <w:bookmarkStart w:id="6" w:name="_GoBack"/>
      <w:bookmarkEnd w:id="6"/>
    </w:p>
    <w:sectPr w:rsidR="003C6DFB" w:rsidRPr="00462DA8" w:rsidSect="002D29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4D" w:rsidRDefault="005B684D" w:rsidP="00462DA8">
      <w:pPr>
        <w:spacing w:after="0"/>
      </w:pPr>
      <w:r>
        <w:separator/>
      </w:r>
    </w:p>
  </w:endnote>
  <w:endnote w:type="continuationSeparator" w:id="0">
    <w:p w:rsidR="005B684D" w:rsidRDefault="005B684D" w:rsidP="00462D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71524"/>
      <w:docPartObj>
        <w:docPartGallery w:val="Page Numbers (Bottom of Page)"/>
        <w:docPartUnique/>
      </w:docPartObj>
    </w:sdtPr>
    <w:sdtEndPr/>
    <w:sdtContent>
      <w:p w:rsidR="00113BDA" w:rsidRDefault="005B684D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A8" w:rsidRPr="00462DA8">
          <w:rPr>
            <w:noProof/>
            <w:lang w:val="it-IT"/>
          </w:rPr>
          <w:t>4</w:t>
        </w:r>
        <w:r>
          <w:fldChar w:fldCharType="end"/>
        </w:r>
      </w:p>
    </w:sdtContent>
  </w:sdt>
  <w:p w:rsidR="00113BDA" w:rsidRDefault="005B68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4D" w:rsidRDefault="005B684D" w:rsidP="00462DA8">
      <w:pPr>
        <w:spacing w:after="0"/>
      </w:pPr>
      <w:r>
        <w:separator/>
      </w:r>
    </w:p>
  </w:footnote>
  <w:footnote w:type="continuationSeparator" w:id="0">
    <w:p w:rsidR="005B684D" w:rsidRDefault="005B684D" w:rsidP="00462DA8">
      <w:pPr>
        <w:spacing w:after="0"/>
      </w:pPr>
      <w:r>
        <w:continuationSeparator/>
      </w:r>
    </w:p>
  </w:footnote>
  <w:footnote w:id="1">
    <w:p w:rsidR="00462DA8" w:rsidRPr="004C4987" w:rsidRDefault="00462DA8" w:rsidP="00462DA8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4C4987">
        <w:rPr>
          <w:lang w:val="en-US"/>
        </w:rPr>
        <w:t xml:space="preserve"> PES </w:t>
      </w:r>
      <w:r>
        <w:rPr>
          <w:lang w:val="en-US"/>
        </w:rPr>
        <w:t>can be defined as</w:t>
      </w:r>
      <w:r w:rsidRPr="004C4987">
        <w:rPr>
          <w:lang w:val="en-US"/>
        </w:rPr>
        <w:t xml:space="preserve"> a transfer of resources between social actors, </w:t>
      </w:r>
      <w:r>
        <w:rPr>
          <w:lang w:val="en-US"/>
        </w:rPr>
        <w:t>aiming</w:t>
      </w:r>
      <w:r w:rsidRPr="004C4987">
        <w:rPr>
          <w:lang w:val="en-US"/>
        </w:rPr>
        <w:t xml:space="preserve"> to create incentives </w:t>
      </w:r>
      <w:r>
        <w:rPr>
          <w:lang w:val="en-US"/>
        </w:rPr>
        <w:t>for</w:t>
      </w:r>
      <w:r w:rsidRPr="004C4987">
        <w:rPr>
          <w:lang w:val="en-US"/>
        </w:rPr>
        <w:t xml:space="preserve"> align</w:t>
      </w:r>
      <w:r>
        <w:rPr>
          <w:lang w:val="en-US"/>
        </w:rPr>
        <w:t>ing</w:t>
      </w:r>
      <w:r w:rsidRPr="004C4987">
        <w:rPr>
          <w:lang w:val="en-US"/>
        </w:rPr>
        <w:t xml:space="preserve"> individual and/or collective land use decisions with the social interest in the management of natural resources (Muradian et al. </w:t>
      </w:r>
      <w:r>
        <w:rPr>
          <w:lang w:val="en-US"/>
        </w:rPr>
        <w:t>2010).</w:t>
      </w:r>
    </w:p>
  </w:footnote>
  <w:footnote w:id="2">
    <w:p w:rsidR="00462DA8" w:rsidRPr="008A6893" w:rsidRDefault="00462DA8" w:rsidP="00462DA8">
      <w:pPr>
        <w:pStyle w:val="Testonotaapidipagina"/>
        <w:jc w:val="both"/>
        <w:rPr>
          <w:lang w:val="sk-SK"/>
        </w:rPr>
      </w:pPr>
      <w:r>
        <w:rPr>
          <w:rStyle w:val="Rimandonotaapidipagina"/>
        </w:rPr>
        <w:footnoteRef/>
      </w:r>
      <w:r>
        <w:rPr>
          <w:lang w:val="en-GB"/>
        </w:rPr>
        <w:t xml:space="preserve"> </w:t>
      </w:r>
      <w:r w:rsidRPr="008A6893">
        <w:rPr>
          <w:lang w:val="en-GB"/>
        </w:rPr>
        <w:t xml:space="preserve">Environmental effectiveness is defined as the change in provision of services included by </w:t>
      </w:r>
      <w:r w:rsidRPr="00501413">
        <w:rPr>
          <w:lang w:val="en-GB"/>
        </w:rPr>
        <w:t>the program, with comparison of provision of ecosystem services without PES scheme. Effectiveness could be determined by program costs, the direct changes in land/resource-use and indirect effects of the program (B</w:t>
      </w:r>
      <w:r w:rsidRPr="00501413">
        <w:rPr>
          <w:rFonts w:cs="Times New Roman"/>
          <w:lang w:val="en-GB"/>
        </w:rPr>
        <w:t>ö</w:t>
      </w:r>
      <w:r w:rsidRPr="00501413">
        <w:rPr>
          <w:lang w:val="en-GB"/>
        </w:rPr>
        <w:t xml:space="preserve">rner, </w:t>
      </w:r>
      <w:r>
        <w:rPr>
          <w:lang w:val="en-GB"/>
        </w:rPr>
        <w:t>et</w:t>
      </w:r>
      <w:r w:rsidRPr="00501413">
        <w:rPr>
          <w:lang w:val="en-GB"/>
        </w:rPr>
        <w:t xml:space="preserve"> al. 2017).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6F8640AB"/>
    <w:multiLevelType w:val="hybridMultilevel"/>
    <w:tmpl w:val="4664B7DA"/>
    <w:lvl w:ilvl="0" w:tplc="42729D3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D427AB"/>
    <w:multiLevelType w:val="hybridMultilevel"/>
    <w:tmpl w:val="E9F89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8"/>
    <w:rsid w:val="003C6DFB"/>
    <w:rsid w:val="00462DA8"/>
    <w:rsid w:val="005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FDED"/>
  <w15:chartTrackingRefBased/>
  <w15:docId w15:val="{61EF01E7-990D-4E8C-A2C7-733D2328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DA8"/>
    <w:pPr>
      <w:spacing w:line="240" w:lineRule="auto"/>
      <w:jc w:val="both"/>
    </w:pPr>
    <w:rPr>
      <w:rFonts w:ascii="Times New Roman" w:hAnsi="Times New Roman"/>
      <w:sz w:val="24"/>
      <w:lang w:val="sk-S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2DA8"/>
    <w:rPr>
      <w:color w:val="0563C1" w:themeColor="hyperlink"/>
      <w:u w:val="single"/>
    </w:rPr>
  </w:style>
  <w:style w:type="character" w:styleId="Rimandonotaapidipagina">
    <w:name w:val="footnote reference"/>
    <w:rsid w:val="00462DA8"/>
    <w:rPr>
      <w:vertAlign w:val="superscript"/>
    </w:rPr>
  </w:style>
  <w:style w:type="paragraph" w:customStyle="1" w:styleId="ListParagraph1">
    <w:name w:val="List Paragraph1"/>
    <w:basedOn w:val="Normale"/>
    <w:rsid w:val="00462DA8"/>
    <w:pPr>
      <w:widowControl w:val="0"/>
      <w:suppressAutoHyphens/>
      <w:spacing w:after="0"/>
      <w:ind w:left="720"/>
      <w:jc w:val="left"/>
    </w:pPr>
    <w:rPr>
      <w:rFonts w:eastAsia="SimSun" w:cs="Mangal"/>
      <w:kern w:val="1"/>
      <w:szCs w:val="24"/>
      <w:lang w:val="it-IT" w:eastAsia="zh-CN" w:bidi="hi-IN"/>
    </w:rPr>
  </w:style>
  <w:style w:type="paragraph" w:styleId="Testonotaapidipagina">
    <w:name w:val="footnote text"/>
    <w:basedOn w:val="Normale"/>
    <w:link w:val="TestonotaapidipaginaCarattere"/>
    <w:rsid w:val="00462DA8"/>
    <w:pPr>
      <w:widowControl w:val="0"/>
      <w:suppressAutoHyphens/>
      <w:spacing w:after="0"/>
      <w:jc w:val="left"/>
    </w:pPr>
    <w:rPr>
      <w:rFonts w:eastAsia="SimSun" w:cs="Mangal"/>
      <w:kern w:val="1"/>
      <w:sz w:val="20"/>
      <w:szCs w:val="20"/>
      <w:lang w:val="it-IT"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2DA8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essunaspaziatura">
    <w:name w:val="No Spacing"/>
    <w:uiPriority w:val="1"/>
    <w:qFormat/>
    <w:rsid w:val="00462DA8"/>
    <w:pPr>
      <w:spacing w:after="0" w:line="240" w:lineRule="auto"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62DA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DA8"/>
    <w:rPr>
      <w:rFonts w:ascii="Times New Roman" w:hAnsi="Times New Roman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it.facebook.com/pesfor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Paletto</dc:creator>
  <cp:keywords/>
  <dc:description/>
  <cp:lastModifiedBy>Alessandro Paletto</cp:lastModifiedBy>
  <cp:revision>1</cp:revision>
  <dcterms:created xsi:type="dcterms:W3CDTF">2020-04-09T06:41:00Z</dcterms:created>
  <dcterms:modified xsi:type="dcterms:W3CDTF">2020-04-09T06:41:00Z</dcterms:modified>
</cp:coreProperties>
</file>