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6366" w14:textId="77777777" w:rsidR="00295934" w:rsidRPr="009F3320" w:rsidRDefault="00295934" w:rsidP="002959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3320">
        <w:rPr>
          <w:rFonts w:asciiTheme="majorBidi" w:hAnsiTheme="majorBidi" w:cstheme="majorBidi"/>
          <w:b/>
          <w:bCs/>
          <w:sz w:val="28"/>
          <w:szCs w:val="28"/>
        </w:rPr>
        <w:t>Invasion of the Polyphag</w:t>
      </w:r>
      <w:r w:rsidRPr="00EB3301">
        <w:rPr>
          <w:rFonts w:asciiTheme="majorBidi" w:hAnsiTheme="majorBidi" w:cstheme="majorBidi"/>
          <w:b/>
          <w:bCs/>
          <w:sz w:val="28"/>
          <w:szCs w:val="28"/>
        </w:rPr>
        <w:t>ous Shot Hole Borer</w:t>
      </w:r>
      <w:r w:rsidRPr="00FE1B9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EB3301">
        <w:rPr>
          <w:rFonts w:asciiTheme="majorBidi" w:hAnsiTheme="majorBidi" w:cstheme="majorBidi"/>
          <w:b/>
          <w:bCs/>
          <w:sz w:val="28"/>
          <w:szCs w:val="28"/>
        </w:rPr>
        <w:t>eetle i</w:t>
      </w:r>
      <w:r w:rsidRPr="009F3320">
        <w:rPr>
          <w:rFonts w:asciiTheme="majorBidi" w:hAnsiTheme="majorBidi" w:cstheme="majorBidi"/>
          <w:b/>
          <w:bCs/>
          <w:sz w:val="28"/>
          <w:szCs w:val="28"/>
        </w:rPr>
        <w:t>n South Africa:</w:t>
      </w:r>
    </w:p>
    <w:p w14:paraId="109535B2" w14:textId="2FF6292C" w:rsidR="00295934" w:rsidRPr="009F3320" w:rsidRDefault="00295934" w:rsidP="0029593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3320">
        <w:rPr>
          <w:rFonts w:asciiTheme="majorBidi" w:hAnsiTheme="majorBidi" w:cstheme="majorBidi"/>
          <w:b/>
          <w:bCs/>
          <w:sz w:val="28"/>
          <w:szCs w:val="28"/>
        </w:rPr>
        <w:t>A preliminary assessment of the economic impact</w:t>
      </w:r>
      <w:r w:rsidR="00957140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14:paraId="040FE8CF" w14:textId="77777777" w:rsidR="00B20FB9" w:rsidRDefault="00B20FB9" w:rsidP="00C9123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E6C5D3" w14:textId="446A01EB" w:rsidR="00AA1C03" w:rsidRPr="00C91237" w:rsidRDefault="002A5B97" w:rsidP="00C9123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91237">
        <w:rPr>
          <w:rFonts w:asciiTheme="majorBidi" w:hAnsiTheme="majorBidi" w:cstheme="majorBidi"/>
          <w:b/>
          <w:bCs/>
          <w:sz w:val="24"/>
          <w:szCs w:val="24"/>
          <w:u w:val="single"/>
        </w:rPr>
        <w:t>Supplementary Material</w:t>
      </w:r>
    </w:p>
    <w:p w14:paraId="72F3B6D3" w14:textId="7FD99C12" w:rsidR="00F3699C" w:rsidRDefault="00F3699C">
      <w:pPr>
        <w:rPr>
          <w:rFonts w:asciiTheme="majorBidi" w:hAnsiTheme="majorBidi" w:cstheme="majorBidi"/>
          <w:sz w:val="24"/>
          <w:szCs w:val="24"/>
        </w:rPr>
      </w:pPr>
    </w:p>
    <w:p w14:paraId="4B03393E" w14:textId="679F6C3E" w:rsidR="00F9510E" w:rsidRPr="007D7A10" w:rsidRDefault="00F9510E" w:rsidP="00F9510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D7A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Table S1 Agricultural tree species </w:t>
      </w:r>
      <w:r w:rsidR="00D3130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affected </w:t>
      </w:r>
      <w:r w:rsidRPr="007D7A10">
        <w:rPr>
          <w:rFonts w:asciiTheme="majorBidi" w:hAnsiTheme="majorBidi" w:cstheme="majorBidi"/>
          <w:b/>
          <w:bCs/>
          <w:sz w:val="24"/>
          <w:szCs w:val="24"/>
          <w:lang w:val="en-US"/>
        </w:rPr>
        <w:t>by the P</w:t>
      </w:r>
      <w:r w:rsidR="00B20F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olyphagous </w:t>
      </w:r>
      <w:r w:rsidRPr="007D7A10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B20FB9">
        <w:rPr>
          <w:rFonts w:asciiTheme="majorBidi" w:hAnsiTheme="majorBidi" w:cstheme="majorBidi"/>
          <w:b/>
          <w:bCs/>
          <w:sz w:val="24"/>
          <w:szCs w:val="24"/>
          <w:lang w:val="en-US"/>
        </w:rPr>
        <w:t>hot</w:t>
      </w:r>
      <w:r w:rsidR="00B7656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</w:t>
      </w:r>
      <w:r w:rsidR="00B20F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ole </w:t>
      </w:r>
      <w:r w:rsidRPr="007D7A10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="00B20FB9">
        <w:rPr>
          <w:rFonts w:asciiTheme="majorBidi" w:hAnsiTheme="majorBidi" w:cstheme="majorBidi"/>
          <w:b/>
          <w:bCs/>
          <w:sz w:val="24"/>
          <w:szCs w:val="24"/>
          <w:lang w:val="en-US"/>
        </w:rPr>
        <w:t>orer</w:t>
      </w:r>
      <w:r w:rsidR="00B7656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beetle</w:t>
      </w:r>
      <w:r w:rsidRPr="007D7A1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in global case </w:t>
      </w:r>
      <w:proofErr w:type="gramStart"/>
      <w:r w:rsidRPr="007D7A10">
        <w:rPr>
          <w:rFonts w:asciiTheme="majorBidi" w:hAnsiTheme="majorBidi" w:cstheme="majorBidi"/>
          <w:b/>
          <w:bCs/>
          <w:sz w:val="24"/>
          <w:szCs w:val="24"/>
          <w:lang w:val="en-US"/>
        </w:rPr>
        <w:t>studies</w:t>
      </w:r>
      <w:proofErr w:type="gramEnd"/>
    </w:p>
    <w:p w14:paraId="19A30212" w14:textId="77777777" w:rsidR="00F9510E" w:rsidRPr="007852DD" w:rsidRDefault="00F9510E" w:rsidP="00F951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5519" w:type="dxa"/>
        <w:tblLook w:val="04A0" w:firstRow="1" w:lastRow="0" w:firstColumn="1" w:lastColumn="0" w:noHBand="0" w:noVBand="1"/>
      </w:tblPr>
      <w:tblGrid>
        <w:gridCol w:w="3818"/>
        <w:gridCol w:w="1701"/>
      </w:tblGrid>
      <w:tr w:rsidR="00F9510E" w:rsidRPr="007852DD" w14:paraId="3EA9B730" w14:textId="77777777" w:rsidTr="007D7A10">
        <w:trPr>
          <w:trHeight w:val="3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2FE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ZA"/>
              </w:rPr>
              <w:t>Latin name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64174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en-ZA"/>
              </w:rPr>
              <w:t>Common name</w:t>
            </w:r>
          </w:p>
        </w:tc>
      </w:tr>
      <w:tr w:rsidR="00F9510E" w:rsidRPr="007852DD" w14:paraId="0C72450F" w14:textId="77777777" w:rsidTr="007D7A10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12F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Citrus limon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9AC42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Lemon</w:t>
            </w:r>
          </w:p>
        </w:tc>
      </w:tr>
      <w:tr w:rsidR="00F9510E" w:rsidRPr="007852DD" w14:paraId="21D40CFD" w14:textId="77777777" w:rsidTr="007D7A10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547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Citrus sinensis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72A71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Orange</w:t>
            </w:r>
          </w:p>
        </w:tc>
      </w:tr>
      <w:tr w:rsidR="00F9510E" w:rsidRPr="007852DD" w14:paraId="2E1857BB" w14:textId="77777777" w:rsidTr="007D7A10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AE1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 xml:space="preserve">Ficus </w:t>
            </w:r>
            <w:proofErr w:type="spellStart"/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carica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02D5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Common fig</w:t>
            </w:r>
          </w:p>
        </w:tc>
      </w:tr>
      <w:tr w:rsidR="00F9510E" w:rsidRPr="007852DD" w14:paraId="111A5CFD" w14:textId="77777777" w:rsidTr="007D7A10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7D2B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 xml:space="preserve">Macadamia </w:t>
            </w:r>
            <w:proofErr w:type="gramStart"/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 xml:space="preserve">integrifolia </w:t>
            </w:r>
            <w:r w:rsidRPr="007852DD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tetraphylla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0CB77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Macadamia nut</w:t>
            </w:r>
          </w:p>
        </w:tc>
      </w:tr>
      <w:tr w:rsidR="00F9510E" w:rsidRPr="007852DD" w14:paraId="728E03B8" w14:textId="77777777" w:rsidTr="007D7A10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7B3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Prunus persica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FF3F0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Peach</w:t>
            </w:r>
          </w:p>
        </w:tc>
      </w:tr>
      <w:tr w:rsidR="00F9510E" w:rsidRPr="007852DD" w14:paraId="39B824A9" w14:textId="77777777" w:rsidTr="007D7A10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943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Psidium guajava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7D14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Guava</w:t>
            </w:r>
          </w:p>
        </w:tc>
      </w:tr>
      <w:tr w:rsidR="00F9510E" w:rsidRPr="007852DD" w14:paraId="1DF7F6BD" w14:textId="77777777" w:rsidTr="007D7A10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A4E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Vitis vinifera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AEB0C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Grapevine</w:t>
            </w:r>
          </w:p>
        </w:tc>
      </w:tr>
      <w:tr w:rsidR="00F9510E" w:rsidRPr="00F76618" w14:paraId="6095B676" w14:textId="77777777" w:rsidTr="007D7A10">
        <w:trPr>
          <w:trHeight w:val="323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029" w14:textId="77777777" w:rsidR="00F9510E" w:rsidRPr="007852DD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 xml:space="preserve">Carya </w:t>
            </w:r>
            <w:proofErr w:type="spellStart"/>
            <w:r w:rsidRPr="007852DD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eastAsia="en-ZA"/>
              </w:rPr>
              <w:t>illinoinensis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E7405" w14:textId="77777777" w:rsidR="00F9510E" w:rsidRPr="00F76618" w:rsidRDefault="00F9510E" w:rsidP="00C91237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</w:pPr>
            <w:r w:rsidRPr="007852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ZA"/>
              </w:rPr>
              <w:t>Pecan nut</w:t>
            </w:r>
          </w:p>
        </w:tc>
      </w:tr>
    </w:tbl>
    <w:p w14:paraId="5A4552C0" w14:textId="30848577" w:rsidR="00F9510E" w:rsidRDefault="00F9510E">
      <w:pPr>
        <w:rPr>
          <w:rFonts w:asciiTheme="majorBidi" w:hAnsiTheme="majorBidi" w:cstheme="majorBidi"/>
          <w:sz w:val="24"/>
          <w:szCs w:val="24"/>
        </w:rPr>
      </w:pPr>
    </w:p>
    <w:p w14:paraId="3767EF8A" w14:textId="0054BB3F" w:rsidR="00B421E7" w:rsidRPr="007D7A10" w:rsidRDefault="00B421E7" w:rsidP="00B42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7A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 </w:t>
      </w:r>
      <w:r w:rsidR="009632CD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FC02C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7D7A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Gross production value (GPV) of avocado trees in South Africa (</w:t>
      </w:r>
      <w:r w:rsidR="00B7656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Int. $ m</w:t>
      </w:r>
      <w:r w:rsidR="00A238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7D7A10">
        <w:rPr>
          <w:rFonts w:ascii="Times New Roman" w:hAnsi="Times New Roman" w:cs="Times New Roman"/>
          <w:b/>
          <w:bCs/>
          <w:sz w:val="24"/>
          <w:szCs w:val="24"/>
          <w:lang w:val="en-US"/>
        </w:rPr>
        <w:t>1994/5 – 2017/18)</w:t>
      </w:r>
    </w:p>
    <w:p w14:paraId="295D40C0" w14:textId="1BF69C92" w:rsidR="00B421E7" w:rsidRPr="004A1D73" w:rsidRDefault="00B421E7" w:rsidP="00B421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6F609CA" w14:textId="625A6DB0" w:rsidR="00FC02C1" w:rsidRDefault="00FC02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422ED8FF" wp14:editId="1A47833C">
            <wp:extent cx="3820877" cy="169926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87" cy="170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39B69" w14:textId="56C9A222" w:rsidR="00F3699C" w:rsidRPr="007D7A10" w:rsidRDefault="00B152D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D7A10">
        <w:rPr>
          <w:rFonts w:ascii="Times New Roman" w:hAnsi="Times New Roman" w:cs="Times New Roman"/>
          <w:i/>
          <w:iCs/>
          <w:sz w:val="24"/>
          <w:szCs w:val="24"/>
          <w:lang w:val="en-US"/>
        </w:rPr>
        <w:t>Source: DAFF (2020: 44)</w:t>
      </w:r>
    </w:p>
    <w:p w14:paraId="398ECEAA" w14:textId="77777777" w:rsidR="00A4515E" w:rsidRDefault="00A4515E" w:rsidP="00EC2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19B1FC" w14:textId="77777777" w:rsidR="00B20FB9" w:rsidRDefault="00B20FB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81AA119" w14:textId="26E73562" w:rsidR="00EC2A56" w:rsidRPr="00343558" w:rsidRDefault="00EC2A56" w:rsidP="00EC2A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7A1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 S2 Gross production value (GPV) of black wattle in South Africa (Int. $ m, 2005 – 2018)</w:t>
      </w:r>
      <w:r w:rsidRPr="007D7A10">
        <w:rPr>
          <w:rStyle w:val="CommentReferenc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9F0432" w14:textId="77777777" w:rsidR="00EC2A56" w:rsidRPr="00631C39" w:rsidRDefault="00EC2A56" w:rsidP="00EC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70CFF9" w14:textId="6E156CA6" w:rsidR="00EC2A56" w:rsidRPr="00631C39" w:rsidRDefault="00376B63" w:rsidP="00EC2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D1EE82B" wp14:editId="05BDAEE3">
            <wp:extent cx="3162300" cy="19119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1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6DB29" w14:textId="6EE489CA" w:rsidR="00EC2A56" w:rsidRPr="00EE4E2B" w:rsidRDefault="00EC2A56" w:rsidP="00EC2A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E4E2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Sources: </w:t>
      </w:r>
      <w:r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>Oberholzer</w:t>
      </w:r>
      <w:r w:rsid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777E4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>Godsmark</w:t>
      </w:r>
      <w:proofErr w:type="spellEnd"/>
      <w:r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(2020)</w:t>
      </w:r>
      <w:r w:rsidR="000C3E74"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  <w:r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Craig Norris (NCT), pers </w:t>
      </w:r>
      <w:r w:rsidR="007130E9"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>omm</w:t>
      </w:r>
      <w:r w:rsidR="00C305DD" w:rsidRPr="00C305DD">
        <w:rPr>
          <w:rFonts w:ascii="Times New Roman" w:hAnsi="Times New Roman" w:cs="Times New Roman"/>
          <w:i/>
          <w:iCs/>
          <w:sz w:val="24"/>
          <w:szCs w:val="24"/>
          <w:lang w:val="en-US"/>
        </w:rPr>
        <w:t>, 2020</w:t>
      </w:r>
    </w:p>
    <w:p w14:paraId="5E3722FB" w14:textId="77777777" w:rsidR="00BB3D0C" w:rsidRPr="00EE4E2B" w:rsidRDefault="00BB3D0C" w:rsidP="00BB3D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205107B" w14:textId="1BCEBE13" w:rsidR="00A4515E" w:rsidRPr="00EE4E2B" w:rsidRDefault="00A4515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6B20927" w14:textId="53A84E62" w:rsidR="00E8085B" w:rsidRPr="00EE4E2B" w:rsidRDefault="00E808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E4E2B">
        <w:rPr>
          <w:rFonts w:asciiTheme="majorBidi" w:hAnsiTheme="majorBidi" w:cstheme="majorBidi"/>
          <w:b/>
          <w:bCs/>
          <w:sz w:val="24"/>
          <w:szCs w:val="24"/>
        </w:rPr>
        <w:t>Benefit-Transfer Method Equations</w:t>
      </w:r>
    </w:p>
    <w:p w14:paraId="683D09C2" w14:textId="78FC4756" w:rsidR="006D67A3" w:rsidRPr="00EE4E2B" w:rsidRDefault="006D67A3" w:rsidP="006D67A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E4E2B">
        <w:rPr>
          <w:rFonts w:asciiTheme="majorBidi" w:hAnsiTheme="majorBidi" w:cstheme="majorBidi"/>
          <w:sz w:val="24"/>
          <w:szCs w:val="24"/>
          <w:lang w:val="en-US"/>
        </w:rPr>
        <w:t xml:space="preserve">The adjustment equations used for </w:t>
      </w:r>
      <w:r w:rsidR="00133274" w:rsidRPr="00EE4E2B">
        <w:rPr>
          <w:rFonts w:asciiTheme="majorBidi" w:hAnsiTheme="majorBidi" w:cstheme="majorBidi"/>
          <w:sz w:val="24"/>
          <w:szCs w:val="24"/>
          <w:lang w:val="en-US"/>
        </w:rPr>
        <w:t xml:space="preserve">the economic value of </w:t>
      </w:r>
      <w:r w:rsidRPr="00EE4E2B">
        <w:rPr>
          <w:rFonts w:asciiTheme="majorBidi" w:hAnsiTheme="majorBidi" w:cstheme="majorBidi"/>
          <w:sz w:val="24"/>
          <w:szCs w:val="24"/>
          <w:lang w:val="en-US"/>
        </w:rPr>
        <w:t>natural forests</w:t>
      </w:r>
      <w:r w:rsidR="00133274" w:rsidRPr="00EE4E2B">
        <w:rPr>
          <w:rFonts w:asciiTheme="majorBidi" w:hAnsiTheme="majorBidi" w:cstheme="majorBidi"/>
          <w:sz w:val="24"/>
          <w:szCs w:val="24"/>
          <w:lang w:val="en-US"/>
        </w:rPr>
        <w:t xml:space="preserve"> in South Africa</w:t>
      </w:r>
      <w:r w:rsidRPr="00EE4E2B">
        <w:rPr>
          <w:rFonts w:asciiTheme="majorBidi" w:hAnsiTheme="majorBidi" w:cstheme="majorBidi"/>
          <w:sz w:val="24"/>
          <w:szCs w:val="24"/>
          <w:lang w:val="en-US"/>
        </w:rPr>
        <w:t xml:space="preserve"> are represented by equations </w:t>
      </w:r>
      <w:r w:rsidR="00DC484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865F5" w:rsidRPr="00EE4E2B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DC4841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865F5" w:rsidRPr="00EE4E2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E4E2B">
        <w:rPr>
          <w:rFonts w:asciiTheme="majorBidi" w:hAnsiTheme="majorBidi" w:cstheme="majorBidi"/>
          <w:sz w:val="24"/>
          <w:szCs w:val="24"/>
          <w:lang w:val="en-US"/>
        </w:rPr>
        <w:t>(the currency conversion formula)</w:t>
      </w:r>
      <w:r w:rsidR="000865F5" w:rsidRPr="00EE4E2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C484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865F5" w:rsidRPr="00EE4E2B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DC484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E4E2B">
        <w:rPr>
          <w:rFonts w:asciiTheme="majorBidi" w:hAnsiTheme="majorBidi" w:cstheme="majorBidi"/>
          <w:sz w:val="24"/>
          <w:szCs w:val="24"/>
          <w:lang w:val="en-US"/>
        </w:rPr>
        <w:t xml:space="preserve"> (the CPI adjustment formula)</w:t>
      </w:r>
      <w:r w:rsidR="000865F5" w:rsidRPr="00EE4E2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E4E2B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DC4841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865F5" w:rsidRPr="00EE4E2B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DC4841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E4E2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A064D1" w:rsidRPr="00EE4E2B">
        <w:rPr>
          <w:rFonts w:asciiTheme="majorBidi" w:hAnsiTheme="majorBidi" w:cstheme="majorBidi"/>
          <w:sz w:val="24"/>
          <w:szCs w:val="24"/>
          <w:lang w:val="en-US"/>
        </w:rPr>
        <w:t>GDP-</w:t>
      </w:r>
      <w:r w:rsidRPr="00EE4E2B">
        <w:rPr>
          <w:rFonts w:asciiTheme="majorBidi" w:hAnsiTheme="majorBidi" w:cstheme="majorBidi"/>
          <w:sz w:val="24"/>
          <w:szCs w:val="24"/>
          <w:lang w:val="en-US"/>
        </w:rPr>
        <w:t>PPP adjustment), respectively as follows:</w:t>
      </w: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8517"/>
        <w:gridCol w:w="499"/>
      </w:tblGrid>
      <w:tr w:rsidR="000865F5" w:rsidRPr="00EE4E2B" w14:paraId="76B56D5D" w14:textId="77777777" w:rsidTr="000865F5"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</w:tcPr>
          <w:p w14:paraId="730A6C9C" w14:textId="77777777" w:rsidR="000865F5" w:rsidRPr="00EE4E2B" w:rsidRDefault="00366C8A" w:rsidP="0008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 xml:space="preserve">i=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,oc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 xml:space="preserve">.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t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en-US"/>
                  </w:rPr>
                  <m:t xml:space="preserve">tc, oc </m:t>
                </m:r>
              </m:oMath>
            </m:oMathPara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71F59DD8" w14:textId="77777777" w:rsidR="000865F5" w:rsidRPr="00EE4E2B" w:rsidRDefault="000865F5" w:rsidP="0008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E4E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(1)</w:t>
            </w:r>
          </w:p>
        </w:tc>
      </w:tr>
    </w:tbl>
    <w:p w14:paraId="7A15A75A" w14:textId="77777777" w:rsidR="006D67A3" w:rsidRPr="00EE4E2B" w:rsidRDefault="006D67A3" w:rsidP="006D67A3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14:paraId="5330CC56" w14:textId="41923E3F" w:rsidR="006D67A3" w:rsidRPr="00EE4E2B" w:rsidRDefault="006D67A3" w:rsidP="006D67A3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i</m:t>
        </m:r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th</m:t>
            </m:r>
          </m:sup>
        </m:sSup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original context value after adjustment,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0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/>
          </w:rPr>
          <m:t>,oc</m:t>
        </m:r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th</m:t>
            </m:r>
          </m:sup>
        </m:sSup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initial original context value and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tc, oc</m:t>
        </m:r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currency ratio of the transfer context to the original context at the base year.</w:t>
      </w:r>
      <w:r w:rsidR="002A2E95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For Natural Forests, total value per hectare </w:t>
      </w:r>
      <w:r w:rsidR="003C1117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is </w:t>
      </w:r>
      <w:r w:rsidR="002A2E95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provided by </w:t>
      </w:r>
      <w:r w:rsidR="002A2E95" w:rsidRPr="00B43352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Brenner </w:t>
      </w:r>
      <w:r w:rsidR="002A2E95" w:rsidRPr="00B43352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et al</w:t>
      </w:r>
      <w:r w:rsidR="002A2E95" w:rsidRPr="00B43352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. (2013), de Groot </w:t>
      </w:r>
      <w:r w:rsidR="002A2E95" w:rsidRPr="00B43352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 xml:space="preserve">et al. </w:t>
      </w:r>
      <w:r w:rsidR="002A2E95" w:rsidRPr="00B43352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(2013)</w:t>
      </w:r>
      <w:r w:rsidR="002A2E95" w:rsidRPr="006F09E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and </w:t>
      </w:r>
      <w:r w:rsidR="00083F45" w:rsidRPr="006F09E6"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t>d</w:t>
      </w:r>
      <w:r w:rsidR="001F0E35" w:rsidRPr="006F09E6"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t>e Groot et al. (2012)</w:t>
      </w:r>
      <w:r w:rsidR="003C1117" w:rsidRPr="006F09E6"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  <w:r w:rsidR="001E6736" w:rsidRPr="006F09E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bookmarkStart w:id="0" w:name="_Hlk56758943"/>
      <w:r w:rsidR="00AB5592" w:rsidRPr="006F09E6">
        <w:rPr>
          <w:rFonts w:asciiTheme="majorBidi" w:eastAsiaTheme="minorEastAsia" w:hAnsiTheme="majorBidi" w:cstheme="majorBidi"/>
          <w:sz w:val="24"/>
          <w:szCs w:val="24"/>
          <w:lang w:val="en-US"/>
        </w:rPr>
        <w:t>For Urban Environmen</w:t>
      </w:r>
      <w:r w:rsidR="00AB5592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ts, </w:t>
      </w:r>
      <w:r w:rsidR="00E13733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total value per tree quantities provided by </w:t>
      </w:r>
      <w:r w:rsidR="001F0E35" w:rsidRPr="00EE4E2B"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t>McPherson (2003)</w:t>
      </w:r>
      <w:r w:rsidR="00E13733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r w:rsidR="001F0E35" w:rsidRPr="00EE4E2B"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t>Soares et al. (2011)</w:t>
      </w:r>
      <w:r w:rsidR="00E13733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and</w:t>
      </w:r>
      <w:r w:rsidR="003C1117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3C1117" w:rsidRPr="00EE4E2B"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t xml:space="preserve">Peper et al. </w:t>
      </w:r>
      <w:r w:rsidR="00280713"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t>(</w:t>
      </w:r>
      <w:r w:rsidR="003C1117" w:rsidRPr="00EE4E2B"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t>2007)</w:t>
      </w:r>
      <w:r w:rsidR="003C1117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E13733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are used. </w:t>
      </w:r>
      <w:bookmarkEnd w:id="0"/>
      <w:r w:rsidR="00AB5592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The quantities provided by these studies are converted from U.S dollars to Rands using the average annual exchange rates provided by </w:t>
      </w:r>
      <w:r w:rsidR="00AB5592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>Investing.com (2020)</w:t>
      </w:r>
      <w:r w:rsidR="009559CA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in accordance </w:t>
      </w:r>
      <w:r w:rsidR="007C3293">
        <w:rPr>
          <w:rFonts w:asciiTheme="majorBidi" w:eastAsiaTheme="minorEastAsia" w:hAnsiTheme="majorBidi" w:cstheme="majorBidi"/>
          <w:sz w:val="24"/>
          <w:szCs w:val="24"/>
          <w:lang w:val="en-US"/>
        </w:rPr>
        <w:t>with</w:t>
      </w:r>
      <w:r w:rsidR="009559CA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equation 1. </w:t>
      </w:r>
      <w:r w:rsidR="00E13733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>These values are then adjusted for CPI using the following equation</w:t>
      </w:r>
      <w:r w:rsidR="007C3293">
        <w:rPr>
          <w:rFonts w:asciiTheme="majorBidi" w:eastAsiaTheme="minorEastAsia" w:hAnsiTheme="majorBidi" w:cstheme="majorBidi"/>
          <w:sz w:val="24"/>
          <w:szCs w:val="24"/>
          <w:lang w:val="en-US"/>
        </w:rPr>
        <w:t>:</w:t>
      </w:r>
    </w:p>
    <w:p w14:paraId="42D6BD78" w14:textId="77777777" w:rsidR="00FC2A52" w:rsidRPr="00EE4E2B" w:rsidRDefault="00FC2A52" w:rsidP="006D67A3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0"/>
        <w:gridCol w:w="496"/>
      </w:tblGrid>
      <w:tr w:rsidR="004F6D71" w:rsidRPr="00EE4E2B" w14:paraId="71F296A9" w14:textId="77777777" w:rsidTr="004F6D71">
        <w:tc>
          <w:tcPr>
            <w:tcW w:w="8635" w:type="dxa"/>
          </w:tcPr>
          <w:p w14:paraId="56BA691A" w14:textId="77777777" w:rsidR="004F6D71" w:rsidRPr="00EE4E2B" w:rsidRDefault="00366C8A" w:rsidP="004F6D71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i 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CPI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t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tc, oc/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CPI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tc, 0)</m:t>
                </m:r>
              </m:oMath>
            </m:oMathPara>
          </w:p>
          <w:p w14:paraId="5503FA3E" w14:textId="77777777" w:rsidR="004F6D71" w:rsidRPr="00EE4E2B" w:rsidRDefault="004F6D71" w:rsidP="006D67A3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81" w:type="dxa"/>
          </w:tcPr>
          <w:p w14:paraId="14A3FB76" w14:textId="29A83303" w:rsidR="004F6D71" w:rsidRPr="00EE4E2B" w:rsidRDefault="004F6D71" w:rsidP="006D67A3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 w:rsidRPr="00EE4E2B"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(2)</w:t>
            </w:r>
          </w:p>
        </w:tc>
      </w:tr>
    </w:tbl>
    <w:p w14:paraId="0BF7BCFC" w14:textId="334EB1DB" w:rsidR="006D67A3" w:rsidRDefault="006D67A3" w:rsidP="006D67A3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EE4E2B">
        <w:rPr>
          <w:rFonts w:asciiTheme="majorBidi" w:hAnsiTheme="majorBidi" w:cstheme="majorBidi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i</m:t>
        </m:r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th</m:t>
            </m:r>
          </m:sup>
        </m:sSup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original context value after second adjustment, is the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th</m:t>
            </m:r>
          </m:sup>
        </m:sSup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original context value after first adjustment,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CPI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/>
          </w:rPr>
          <m:t>tc, oc</m:t>
        </m:r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CPI of the transfer context/country for the current year and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CPI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0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/>
          </w:rPr>
          <m:t>tc, 0</m:t>
        </m:r>
      </m:oMath>
      <w:r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CPI of the transfer context/country for the initial year / study date</w:t>
      </w:r>
      <w:r w:rsidR="009559CA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. CPI, or the Consumer Price Index, measures the monthly changes in prices for a range of consumer products, with these changes recording the rate of inflation </w:t>
      </w:r>
      <w:r w:rsidR="009559CA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>(</w:t>
      </w:r>
      <w:proofErr w:type="spellStart"/>
      <w:r w:rsidR="009559CA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>StatsSA</w:t>
      </w:r>
      <w:proofErr w:type="spellEnd"/>
      <w:r w:rsidR="009559CA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2013)</w:t>
      </w:r>
      <w:r w:rsidR="009559CA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. This adjustment allows for the values obtained by equation 1 to be represented in </w:t>
      </w:r>
      <w:r w:rsidR="007C3293">
        <w:rPr>
          <w:rFonts w:asciiTheme="majorBidi" w:eastAsiaTheme="minorEastAsia" w:hAnsiTheme="majorBidi" w:cstheme="majorBidi"/>
          <w:sz w:val="24"/>
          <w:szCs w:val="24"/>
          <w:lang w:val="en-US"/>
        </w:rPr>
        <w:t>current</w:t>
      </w:r>
      <w:r w:rsidR="009559CA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prices. </w:t>
      </w:r>
      <w:r w:rsidR="00B46B6D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The CPI headline year-on-year rates are obtained from </w:t>
      </w:r>
      <w:proofErr w:type="spellStart"/>
      <w:r w:rsidR="00B46B6D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>StatsSA</w:t>
      </w:r>
      <w:proofErr w:type="spellEnd"/>
      <w:r w:rsidR="00B46B6D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(2020)</w:t>
      </w:r>
      <w:r w:rsidR="00E13733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>. Finally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, the per tree values for Urban Environments are adjusted for the PPP-GDP using the following equation:</w:t>
      </w:r>
    </w:p>
    <w:p w14:paraId="71F774E8" w14:textId="77777777" w:rsidR="00E4365F" w:rsidRPr="00F76618" w:rsidRDefault="00E4365F" w:rsidP="006D67A3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-36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  <w:gridCol w:w="501"/>
      </w:tblGrid>
      <w:tr w:rsidR="00E4365F" w14:paraId="6BA521F5" w14:textId="77777777" w:rsidTr="00E4365F">
        <w:trPr>
          <w:trHeight w:val="367"/>
        </w:trPr>
        <w:tc>
          <w:tcPr>
            <w:tcW w:w="8610" w:type="dxa"/>
          </w:tcPr>
          <w:p w14:paraId="06B504BC" w14:textId="2F1BA46E" w:rsidR="00E4365F" w:rsidRDefault="00366C8A" w:rsidP="00E4365F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 xml:space="preserve">i=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 xml:space="preserve">i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GDP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 xml:space="preserve">tc/ 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GDP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en-US"/>
                      </w:rPr>
                      <m:t>oc)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ε</m:t>
                    </m:r>
                  </m:sup>
                </m:sSup>
              </m:oMath>
            </m:oMathPara>
          </w:p>
        </w:tc>
        <w:tc>
          <w:tcPr>
            <w:tcW w:w="501" w:type="dxa"/>
          </w:tcPr>
          <w:p w14:paraId="698342C3" w14:textId="77777777" w:rsidR="00E4365F" w:rsidRDefault="00E4365F" w:rsidP="00E4365F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(3)</w:t>
            </w:r>
          </w:p>
        </w:tc>
      </w:tr>
    </w:tbl>
    <w:p w14:paraId="1D59743B" w14:textId="29061710" w:rsidR="00A76FC2" w:rsidRDefault="006D67A3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i</m:t>
        </m:r>
      </m:oMath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th</m:t>
            </m:r>
          </m:sup>
        </m:sSup>
      </m:oMath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original context value after third adjustment,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US"/>
          </w:rPr>
          <m:t>i</m:t>
        </m:r>
      </m:oMath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i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  <w:lang w:val="en-US"/>
              </w:rPr>
              <m:t>th</m:t>
            </m:r>
          </m:sup>
        </m:sSup>
      </m:oMath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original context value after second adjustment,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GDP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 w:cstheme="majorBidi"/>
            <w:sz w:val="24"/>
            <w:szCs w:val="24"/>
            <w:lang w:val="en-US"/>
          </w:rPr>
          <m:t>tc</m:t>
        </m:r>
      </m:oMath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PPP G</w:t>
      </w:r>
      <w:r w:rsidR="004348DB">
        <w:rPr>
          <w:rFonts w:asciiTheme="majorBidi" w:eastAsiaTheme="minorEastAsia" w:hAnsiTheme="majorBidi" w:cstheme="majorBidi"/>
          <w:sz w:val="24"/>
          <w:szCs w:val="24"/>
          <w:lang w:val="en-US"/>
        </w:rPr>
        <w:t>DP</w:t>
      </w:r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of the transfer </w:t>
      </w:r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 xml:space="preserve">context/country for the current year, the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GDP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oc</m:t>
        </m:r>
      </m:oMath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PPP </w:t>
      </w:r>
      <w:r w:rsidR="004348DB">
        <w:rPr>
          <w:rFonts w:asciiTheme="majorBidi" w:eastAsiaTheme="minorEastAsia" w:hAnsiTheme="majorBidi" w:cstheme="majorBidi"/>
          <w:sz w:val="24"/>
          <w:szCs w:val="24"/>
          <w:lang w:val="en-US"/>
        </w:rPr>
        <w:t>GDP</w:t>
      </w:r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of the original context/country for the current year and 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>ε</m:t>
        </m:r>
      </m:oMath>
      <w:r w:rsidRPr="00F7661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is the income elasticity </w:t>
      </w:r>
      <w:r w:rsidRPr="006A009E">
        <w:rPr>
          <w:rFonts w:asciiTheme="majorBidi" w:eastAsiaTheme="minorEastAsia" w:hAnsiTheme="majorBidi" w:cstheme="majorBidi"/>
          <w:sz w:val="24"/>
          <w:szCs w:val="24"/>
          <w:lang w:val="en-US"/>
        </w:rPr>
        <w:t>of demand for environmental quality.</w:t>
      </w:r>
      <w:r w:rsidR="006A009E" w:rsidRP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6A009E">
        <w:rPr>
          <w:rFonts w:asciiTheme="majorBidi" w:eastAsiaTheme="minorEastAsia" w:hAnsiTheme="majorBidi" w:cstheme="majorBidi"/>
          <w:sz w:val="24"/>
          <w:szCs w:val="24"/>
          <w:lang w:val="en-US"/>
        </w:rPr>
        <w:t>The</w:t>
      </w:r>
      <w:r w:rsidR="006A009E" w:rsidRP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GDP</w:t>
      </w:r>
      <w:r w:rsidR="009B057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(</w:t>
      </w:r>
      <w:r w:rsidR="00E13733" w:rsidRPr="006A009E">
        <w:rPr>
          <w:rFonts w:asciiTheme="majorBidi" w:eastAsiaTheme="minorEastAsia" w:hAnsiTheme="majorBidi" w:cstheme="majorBidi"/>
          <w:sz w:val="24"/>
          <w:szCs w:val="24"/>
          <w:lang w:val="en-US"/>
        </w:rPr>
        <w:t>PPP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 w:rsidR="006A009E" w:rsidRP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adjustment </w:t>
      </w:r>
      <w:r w:rsidR="00A064D1">
        <w:rPr>
          <w:rFonts w:asciiTheme="majorBidi" w:eastAsiaTheme="minorEastAsia" w:hAnsiTheme="majorBidi" w:cstheme="majorBidi"/>
          <w:sz w:val="24"/>
          <w:szCs w:val="24"/>
          <w:lang w:val="en-US"/>
        </w:rPr>
        <w:t>captures the conversion of the</w:t>
      </w:r>
      <w:r w:rsidR="006A009E" w:rsidRP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gross domestic product to international dollars using purchasing power parity rates. An international dollar has the same purchasing power over GDP as a U.S. dollar has in the United States. Purchasing power parities (PPPs) are the rates of </w:t>
      </w:r>
      <w:r w:rsidR="006A009E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currency conversion that eliminate the differences in price levels between countries </w:t>
      </w:r>
      <w:r w:rsidR="006A009E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>(Global Finance, 2020)</w:t>
      </w:r>
      <w:r w:rsidR="006A009E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>. This allows for Equation 2’s values to capture the different income levels from the original</w:t>
      </w:r>
      <w:r w:rsid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study, to the local study. To prevent </w:t>
      </w:r>
      <w:proofErr w:type="gramStart"/>
      <w:r w:rsidR="006A009E">
        <w:rPr>
          <w:rFonts w:asciiTheme="majorBidi" w:eastAsiaTheme="minorEastAsia" w:hAnsiTheme="majorBidi" w:cstheme="majorBidi"/>
          <w:sz w:val="24"/>
          <w:szCs w:val="24"/>
          <w:lang w:val="en-US"/>
        </w:rPr>
        <w:t>double-counting</w:t>
      </w:r>
      <w:proofErr w:type="gramEnd"/>
      <w:r w:rsid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this step was omitted for Natural Forests as the original studies had already adjusted the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local </w:t>
      </w:r>
      <w:r w:rsid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values to the international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dollar’s</w:t>
      </w:r>
      <w:r w:rsidR="006A009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metric.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For Urban Environments, the GDP</w:t>
      </w:r>
      <w:r w:rsidR="009B057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per capita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(PPP) conversion values are obtained from </w:t>
      </w:r>
      <w:r w:rsidR="00F1665E">
        <w:rPr>
          <w:rFonts w:asciiTheme="majorBidi" w:eastAsiaTheme="minorEastAsia" w:hAnsiTheme="majorBidi" w:cstheme="majorBidi"/>
          <w:sz w:val="24"/>
          <w:szCs w:val="24"/>
          <w:lang w:val="en-US"/>
        </w:rPr>
        <w:t>t</w:t>
      </w:r>
      <w:r w:rsidR="00014268">
        <w:rPr>
          <w:rFonts w:asciiTheme="majorBidi" w:eastAsiaTheme="minorEastAsia" w:hAnsiTheme="majorBidi" w:cstheme="majorBidi"/>
          <w:sz w:val="24"/>
          <w:szCs w:val="24"/>
          <w:lang w:val="en-US"/>
        </w:rPr>
        <w:t>he World Bank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(2020), with the ‘World’ GDP </w:t>
      </w:r>
      <w:r w:rsidR="009B057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per capita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(PPP) equating to</w:t>
      </w:r>
      <w:r w:rsidR="0001426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1B56D8">
        <w:rPr>
          <w:rFonts w:asciiTheme="majorBidi" w:eastAsiaTheme="minorEastAsia" w:hAnsiTheme="majorBidi" w:cstheme="majorBidi"/>
          <w:sz w:val="24"/>
          <w:szCs w:val="24"/>
          <w:lang w:val="en-US"/>
        </w:rPr>
        <w:t>I</w:t>
      </w:r>
      <w:r w:rsidR="0001426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nt.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014268">
        <w:rPr>
          <w:rFonts w:asciiTheme="majorBidi" w:eastAsiaTheme="minorEastAsia" w:hAnsiTheme="majorBidi" w:cstheme="majorBidi"/>
          <w:sz w:val="24"/>
          <w:szCs w:val="24"/>
          <w:lang w:val="en-US"/>
        </w:rPr>
        <w:t>$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17 680.20 and the South African GDP </w:t>
      </w:r>
      <w:r w:rsidR="009B057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per capita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(PPP) equating to</w:t>
      </w:r>
      <w:r w:rsidR="0001426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1B56D8">
        <w:rPr>
          <w:rFonts w:asciiTheme="majorBidi" w:eastAsiaTheme="minorEastAsia" w:hAnsiTheme="majorBidi" w:cstheme="majorBidi"/>
          <w:sz w:val="24"/>
          <w:szCs w:val="24"/>
          <w:lang w:val="en-US"/>
        </w:rPr>
        <w:t>I</w:t>
      </w:r>
      <w:r w:rsidR="0001426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nt. 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014268">
        <w:rPr>
          <w:rFonts w:asciiTheme="majorBidi" w:eastAsiaTheme="minorEastAsia" w:hAnsiTheme="majorBidi" w:cstheme="majorBidi"/>
          <w:sz w:val="24"/>
          <w:szCs w:val="24"/>
          <w:lang w:val="en-US"/>
        </w:rPr>
        <w:t>$</w:t>
      </w:r>
      <w:r w:rsidR="00E13733">
        <w:rPr>
          <w:rFonts w:asciiTheme="majorBidi" w:eastAsiaTheme="minorEastAsia" w:hAnsiTheme="majorBidi" w:cstheme="majorBidi"/>
          <w:sz w:val="24"/>
          <w:szCs w:val="24"/>
          <w:lang w:val="en-US"/>
        </w:rPr>
        <w:t>12 999.10.</w:t>
      </w:r>
      <w:r w:rsidR="00FD457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To obtain the int. $ Gross Production Values, the rand values for Avocado Trees and Black Wattle are converted using this </w:t>
      </w:r>
      <w:r w:rsidR="00FD457E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formula with the same ‘World’ and South African GDP per capita (PPP) values provided by </w:t>
      </w:r>
      <w:r w:rsidR="00F1665E">
        <w:rPr>
          <w:rFonts w:asciiTheme="majorBidi" w:eastAsiaTheme="minorEastAsia" w:hAnsiTheme="majorBidi" w:cstheme="majorBidi"/>
          <w:sz w:val="24"/>
          <w:szCs w:val="24"/>
          <w:lang w:val="en-US"/>
        </w:rPr>
        <w:t>t</w:t>
      </w:r>
      <w:r w:rsidR="00FD457E" w:rsidRPr="008518C1">
        <w:rPr>
          <w:rFonts w:asciiTheme="majorBidi" w:eastAsiaTheme="minorEastAsia" w:hAnsiTheme="majorBidi" w:cstheme="majorBidi"/>
          <w:sz w:val="24"/>
          <w:szCs w:val="24"/>
          <w:lang w:val="en-US"/>
        </w:rPr>
        <w:t>he World Bank (2020)</w:t>
      </w:r>
      <w:r w:rsidR="00FD457E" w:rsidRPr="00EE4E2B"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</w:p>
    <w:p w14:paraId="3331F268" w14:textId="77777777" w:rsidR="00853D2A" w:rsidRDefault="00853D2A" w:rsidP="00A76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AC621C" w14:textId="22978628" w:rsidR="00A76FC2" w:rsidRPr="005558EC" w:rsidRDefault="00A76FC2" w:rsidP="00A76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58E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 Adjusted Total Economic Value (TEV) for natural forests in South Africa (2019 Int. $/ha)</w:t>
      </w:r>
    </w:p>
    <w:p w14:paraId="15F3BF4E" w14:textId="77777777" w:rsidR="00A76FC2" w:rsidRPr="004066FF" w:rsidRDefault="00A76FC2" w:rsidP="00A76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0"/>
      </w:tblGrid>
      <w:tr w:rsidR="00A76FC2" w:rsidRPr="00D66BCE" w14:paraId="0FF20FA5" w14:textId="77777777" w:rsidTr="00C91237">
        <w:trPr>
          <w:trHeight w:val="267"/>
        </w:trPr>
        <w:tc>
          <w:tcPr>
            <w:tcW w:w="2250" w:type="dxa"/>
            <w:noWrap/>
            <w:hideMark/>
          </w:tcPr>
          <w:p w14:paraId="793C7BF9" w14:textId="22EA0571" w:rsidR="00A76FC2" w:rsidRPr="004066FF" w:rsidRDefault="00A76FC2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Value per hectare</w:t>
            </w:r>
          </w:p>
        </w:tc>
        <w:tc>
          <w:tcPr>
            <w:tcW w:w="2250" w:type="dxa"/>
          </w:tcPr>
          <w:p w14:paraId="206CFB51" w14:textId="77777777" w:rsidR="00A76FC2" w:rsidRPr="004066FF" w:rsidRDefault="00A76FC2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Original study</w:t>
            </w:r>
          </w:p>
        </w:tc>
      </w:tr>
      <w:tr w:rsidR="00A76FC2" w:rsidRPr="00D66BCE" w14:paraId="18A98B79" w14:textId="77777777" w:rsidTr="00C91237">
        <w:trPr>
          <w:trHeight w:val="267"/>
        </w:trPr>
        <w:tc>
          <w:tcPr>
            <w:tcW w:w="2250" w:type="dxa"/>
            <w:noWrap/>
            <w:hideMark/>
          </w:tcPr>
          <w:p w14:paraId="544EEFC7" w14:textId="25AEFA0A" w:rsidR="00A76FC2" w:rsidRPr="004066FF" w:rsidRDefault="00A76FC2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260.80</w:t>
            </w:r>
          </w:p>
        </w:tc>
        <w:tc>
          <w:tcPr>
            <w:tcW w:w="2250" w:type="dxa"/>
          </w:tcPr>
          <w:p w14:paraId="73518007" w14:textId="77777777" w:rsidR="00A76FC2" w:rsidRPr="004066FF" w:rsidRDefault="00A76FC2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De Groot et al (2012)</w:t>
            </w:r>
          </w:p>
        </w:tc>
      </w:tr>
      <w:tr w:rsidR="00A76FC2" w:rsidRPr="00D66BCE" w14:paraId="615AB3AA" w14:textId="77777777" w:rsidTr="00C91237">
        <w:trPr>
          <w:trHeight w:val="267"/>
        </w:trPr>
        <w:tc>
          <w:tcPr>
            <w:tcW w:w="2250" w:type="dxa"/>
            <w:noWrap/>
            <w:hideMark/>
          </w:tcPr>
          <w:p w14:paraId="3B586F68" w14:textId="45724EDA" w:rsidR="00A76FC2" w:rsidRPr="004066FF" w:rsidRDefault="00A76FC2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642.87</w:t>
            </w:r>
          </w:p>
        </w:tc>
        <w:tc>
          <w:tcPr>
            <w:tcW w:w="2250" w:type="dxa"/>
          </w:tcPr>
          <w:p w14:paraId="4AB6C970" w14:textId="77777777" w:rsidR="00A76FC2" w:rsidRPr="004066FF" w:rsidRDefault="00A76FC2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Brenner et al (2010)</w:t>
            </w:r>
          </w:p>
        </w:tc>
      </w:tr>
      <w:tr w:rsidR="00A76FC2" w:rsidRPr="00D66BCE" w14:paraId="0E63BA2A" w14:textId="77777777" w:rsidTr="00C91237">
        <w:trPr>
          <w:trHeight w:val="267"/>
        </w:trPr>
        <w:tc>
          <w:tcPr>
            <w:tcW w:w="2250" w:type="dxa"/>
            <w:noWrap/>
            <w:hideMark/>
          </w:tcPr>
          <w:p w14:paraId="6FAB62C3" w14:textId="061DEA81" w:rsidR="00A76FC2" w:rsidRPr="004066FF" w:rsidRDefault="00A76FC2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111.23</w:t>
            </w:r>
          </w:p>
        </w:tc>
        <w:tc>
          <w:tcPr>
            <w:tcW w:w="2250" w:type="dxa"/>
          </w:tcPr>
          <w:p w14:paraId="1CF8C329" w14:textId="77777777" w:rsidR="00A76FC2" w:rsidRPr="004066FF" w:rsidRDefault="00A76FC2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F">
              <w:rPr>
                <w:rFonts w:ascii="Times New Roman" w:hAnsi="Times New Roman" w:cs="Times New Roman"/>
                <w:sz w:val="24"/>
                <w:szCs w:val="24"/>
              </w:rPr>
              <w:t>De Groot et al (2013)</w:t>
            </w:r>
          </w:p>
        </w:tc>
      </w:tr>
    </w:tbl>
    <w:p w14:paraId="6043D892" w14:textId="77777777" w:rsidR="001308EF" w:rsidRPr="00133274" w:rsidRDefault="001308EF">
      <w:pPr>
        <w:rPr>
          <w:rFonts w:asciiTheme="majorBidi" w:hAnsiTheme="majorBidi" w:cstheme="majorBidi"/>
          <w:iCs/>
          <w:sz w:val="24"/>
          <w:szCs w:val="24"/>
        </w:rPr>
      </w:pPr>
    </w:p>
    <w:p w14:paraId="35C738C7" w14:textId="7F01C430" w:rsidR="001308EF" w:rsidRPr="005558EC" w:rsidRDefault="001308EF" w:rsidP="001308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58EC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S3 Adjusted Total Economic Value (TEV) for selected urban trees in South Africa (2019 Int. $/tree)</w:t>
      </w:r>
    </w:p>
    <w:p w14:paraId="0A555D97" w14:textId="77777777" w:rsidR="001308EF" w:rsidRPr="003D08AF" w:rsidRDefault="001308EF" w:rsidP="00130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4"/>
        <w:gridCol w:w="1592"/>
        <w:gridCol w:w="2143"/>
      </w:tblGrid>
      <w:tr w:rsidR="001308EF" w:rsidRPr="00D66BCE" w14:paraId="3B0FA85B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36DA0136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Urban tree species</w:t>
            </w:r>
          </w:p>
        </w:tc>
        <w:tc>
          <w:tcPr>
            <w:tcW w:w="1592" w:type="dxa"/>
            <w:noWrap/>
            <w:hideMark/>
          </w:tcPr>
          <w:p w14:paraId="646D4311" w14:textId="05EE52C5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Value per tree</w:t>
            </w:r>
          </w:p>
        </w:tc>
        <w:tc>
          <w:tcPr>
            <w:tcW w:w="2143" w:type="dxa"/>
          </w:tcPr>
          <w:p w14:paraId="4EB2C3D5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Original study</w:t>
            </w:r>
          </w:p>
        </w:tc>
      </w:tr>
      <w:tr w:rsidR="001308EF" w:rsidRPr="00D66BCE" w14:paraId="34B5AA32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62BA8D10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London Plane</w:t>
            </w:r>
          </w:p>
        </w:tc>
        <w:tc>
          <w:tcPr>
            <w:tcW w:w="1592" w:type="dxa"/>
            <w:noWrap/>
            <w:hideMark/>
          </w:tcPr>
          <w:p w14:paraId="29C28F22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2143" w:type="dxa"/>
          </w:tcPr>
          <w:p w14:paraId="27F9C98B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McPherson (2003)</w:t>
            </w:r>
          </w:p>
        </w:tc>
      </w:tr>
      <w:tr w:rsidR="001308EF" w:rsidRPr="00D66BCE" w14:paraId="40ECAEE4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384F0BB1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Modesto Ash</w:t>
            </w:r>
          </w:p>
        </w:tc>
        <w:tc>
          <w:tcPr>
            <w:tcW w:w="1592" w:type="dxa"/>
            <w:noWrap/>
            <w:hideMark/>
          </w:tcPr>
          <w:p w14:paraId="4B8062BC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2143" w:type="dxa"/>
          </w:tcPr>
          <w:p w14:paraId="1758B38C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McPherson (2003)</w:t>
            </w:r>
          </w:p>
        </w:tc>
      </w:tr>
      <w:tr w:rsidR="001308EF" w:rsidRPr="00D66BCE" w14:paraId="0A419A54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52FE4109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 xml:space="preserve">Chinese Sweetgum </w:t>
            </w:r>
          </w:p>
        </w:tc>
        <w:tc>
          <w:tcPr>
            <w:tcW w:w="1592" w:type="dxa"/>
            <w:noWrap/>
            <w:hideMark/>
          </w:tcPr>
          <w:p w14:paraId="7F11D8CC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2143" w:type="dxa"/>
          </w:tcPr>
          <w:p w14:paraId="6AB704D7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McPherson (2003)</w:t>
            </w:r>
          </w:p>
        </w:tc>
      </w:tr>
      <w:tr w:rsidR="001308EF" w:rsidRPr="00D66BCE" w14:paraId="4EDBDBA2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11CA436A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Modesto Ash</w:t>
            </w:r>
          </w:p>
        </w:tc>
        <w:tc>
          <w:tcPr>
            <w:tcW w:w="1592" w:type="dxa"/>
            <w:noWrap/>
            <w:hideMark/>
          </w:tcPr>
          <w:p w14:paraId="1788E425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2143" w:type="dxa"/>
          </w:tcPr>
          <w:p w14:paraId="79A5207A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McPherson (2003)</w:t>
            </w:r>
          </w:p>
        </w:tc>
      </w:tr>
      <w:tr w:rsidR="001308EF" w:rsidRPr="00D66BCE" w14:paraId="6F66AAD4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6385C4AB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Variety of Lisbon Trees</w:t>
            </w:r>
          </w:p>
        </w:tc>
        <w:tc>
          <w:tcPr>
            <w:tcW w:w="1592" w:type="dxa"/>
            <w:noWrap/>
            <w:hideMark/>
          </w:tcPr>
          <w:p w14:paraId="1DD6C6C4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2143" w:type="dxa"/>
          </w:tcPr>
          <w:p w14:paraId="5393FD3B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Soares et al. (2011)</w:t>
            </w:r>
          </w:p>
        </w:tc>
      </w:tr>
      <w:tr w:rsidR="001308EF" w:rsidRPr="00D66BCE" w14:paraId="7E0AC248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50B48485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Variety of New York Trees</w:t>
            </w:r>
          </w:p>
        </w:tc>
        <w:tc>
          <w:tcPr>
            <w:tcW w:w="1592" w:type="dxa"/>
            <w:noWrap/>
            <w:hideMark/>
          </w:tcPr>
          <w:p w14:paraId="384CC5BF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29.97</w:t>
            </w:r>
          </w:p>
        </w:tc>
        <w:tc>
          <w:tcPr>
            <w:tcW w:w="2143" w:type="dxa"/>
          </w:tcPr>
          <w:p w14:paraId="744B0BA6" w14:textId="61DB0068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20EF95E3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7DCC4268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London Plane</w:t>
            </w:r>
          </w:p>
        </w:tc>
        <w:tc>
          <w:tcPr>
            <w:tcW w:w="1592" w:type="dxa"/>
            <w:noWrap/>
            <w:hideMark/>
          </w:tcPr>
          <w:p w14:paraId="201C9289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44.04</w:t>
            </w:r>
          </w:p>
        </w:tc>
        <w:tc>
          <w:tcPr>
            <w:tcW w:w="2143" w:type="dxa"/>
          </w:tcPr>
          <w:p w14:paraId="032E43E7" w14:textId="67F621A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011E9C73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2255FC50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Sweetgum</w:t>
            </w:r>
          </w:p>
        </w:tc>
        <w:tc>
          <w:tcPr>
            <w:tcW w:w="1592" w:type="dxa"/>
            <w:noWrap/>
            <w:hideMark/>
          </w:tcPr>
          <w:p w14:paraId="57BD412F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  <w:tc>
          <w:tcPr>
            <w:tcW w:w="2143" w:type="dxa"/>
          </w:tcPr>
          <w:p w14:paraId="127A83CA" w14:textId="11BBF8E5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3AEFD769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0E64A6DF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Pin Oak</w:t>
            </w:r>
          </w:p>
        </w:tc>
        <w:tc>
          <w:tcPr>
            <w:tcW w:w="1592" w:type="dxa"/>
            <w:noWrap/>
            <w:hideMark/>
          </w:tcPr>
          <w:p w14:paraId="46626A3E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39.31</w:t>
            </w:r>
          </w:p>
        </w:tc>
        <w:tc>
          <w:tcPr>
            <w:tcW w:w="2143" w:type="dxa"/>
          </w:tcPr>
          <w:p w14:paraId="48929877" w14:textId="6DA09E4F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76185E58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1E27AA3E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Honey Locust</w:t>
            </w:r>
          </w:p>
        </w:tc>
        <w:tc>
          <w:tcPr>
            <w:tcW w:w="1592" w:type="dxa"/>
            <w:noWrap/>
            <w:hideMark/>
          </w:tcPr>
          <w:p w14:paraId="72BAD0DB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31.67</w:t>
            </w:r>
          </w:p>
        </w:tc>
        <w:tc>
          <w:tcPr>
            <w:tcW w:w="2143" w:type="dxa"/>
          </w:tcPr>
          <w:p w14:paraId="03EB5494" w14:textId="4B0F7930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6C7A5625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1FE85918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Unknown Large</w:t>
            </w:r>
          </w:p>
        </w:tc>
        <w:tc>
          <w:tcPr>
            <w:tcW w:w="1592" w:type="dxa"/>
            <w:noWrap/>
            <w:hideMark/>
          </w:tcPr>
          <w:p w14:paraId="2FAEC2C4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37.84</w:t>
            </w:r>
          </w:p>
        </w:tc>
        <w:tc>
          <w:tcPr>
            <w:tcW w:w="2143" w:type="dxa"/>
          </w:tcPr>
          <w:p w14:paraId="5E7292E5" w14:textId="7D24F6FD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3223AB54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2C47CC6B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92" w:type="dxa"/>
            <w:noWrap/>
            <w:hideMark/>
          </w:tcPr>
          <w:p w14:paraId="5979EBD4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22.31</w:t>
            </w:r>
          </w:p>
        </w:tc>
        <w:tc>
          <w:tcPr>
            <w:tcW w:w="2143" w:type="dxa"/>
          </w:tcPr>
          <w:p w14:paraId="3558FE61" w14:textId="797E3E92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3BD1A13F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1D70720F" w14:textId="77777777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Oak, northern red</w:t>
            </w:r>
          </w:p>
        </w:tc>
        <w:tc>
          <w:tcPr>
            <w:tcW w:w="1592" w:type="dxa"/>
            <w:noWrap/>
            <w:hideMark/>
          </w:tcPr>
          <w:p w14:paraId="7DD47A4B" w14:textId="77777777" w:rsidR="001308EF" w:rsidRPr="003D08AF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32.24</w:t>
            </w:r>
          </w:p>
        </w:tc>
        <w:tc>
          <w:tcPr>
            <w:tcW w:w="2143" w:type="dxa"/>
          </w:tcPr>
          <w:p w14:paraId="5B648F13" w14:textId="4AE3D402" w:rsidR="001308EF" w:rsidRPr="003D08AF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7852DD" w14:paraId="293C768C" w14:textId="77777777" w:rsidTr="00C91237">
        <w:trPr>
          <w:trHeight w:val="230"/>
        </w:trPr>
        <w:tc>
          <w:tcPr>
            <w:tcW w:w="4004" w:type="dxa"/>
            <w:noWrap/>
            <w:hideMark/>
          </w:tcPr>
          <w:p w14:paraId="7423C374" w14:textId="77777777" w:rsidR="001308EF" w:rsidRPr="007852DD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D">
              <w:rPr>
                <w:rFonts w:ascii="Times New Roman" w:hAnsi="Times New Roman" w:cs="Times New Roman"/>
                <w:sz w:val="24"/>
                <w:szCs w:val="24"/>
              </w:rPr>
              <w:t>Maple average</w:t>
            </w:r>
          </w:p>
        </w:tc>
        <w:tc>
          <w:tcPr>
            <w:tcW w:w="1592" w:type="dxa"/>
            <w:noWrap/>
            <w:hideMark/>
          </w:tcPr>
          <w:p w14:paraId="1B0E239E" w14:textId="77777777" w:rsidR="001308EF" w:rsidRPr="007852DD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D">
              <w:rPr>
                <w:rFonts w:ascii="Times New Roman" w:hAnsi="Times New Roman" w:cs="Times New Roman"/>
                <w:sz w:val="24"/>
                <w:szCs w:val="24"/>
              </w:rPr>
              <w:t>28.77</w:t>
            </w:r>
          </w:p>
        </w:tc>
        <w:tc>
          <w:tcPr>
            <w:tcW w:w="2143" w:type="dxa"/>
          </w:tcPr>
          <w:p w14:paraId="08791C39" w14:textId="392F02E1" w:rsidR="001308EF" w:rsidRPr="007852DD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D">
              <w:rPr>
                <w:rFonts w:ascii="Times New Roman" w:hAnsi="Times New Roman" w:cs="Times New Roman"/>
                <w:noProof/>
                <w:sz w:val="24"/>
                <w:szCs w:val="24"/>
              </w:rPr>
              <w:t>Peper et al. (2007)</w:t>
            </w:r>
          </w:p>
        </w:tc>
      </w:tr>
      <w:tr w:rsidR="001308EF" w:rsidRPr="00D66BCE" w14:paraId="246AB7F5" w14:textId="77777777" w:rsidTr="00C91237">
        <w:trPr>
          <w:trHeight w:val="230"/>
        </w:trPr>
        <w:tc>
          <w:tcPr>
            <w:tcW w:w="4004" w:type="dxa"/>
            <w:noWrap/>
          </w:tcPr>
          <w:p w14:paraId="0F9CA969" w14:textId="77777777" w:rsidR="001308EF" w:rsidRPr="005558EC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EC">
              <w:rPr>
                <w:rFonts w:ascii="Times New Roman" w:hAnsi="Times New Roman" w:cs="Times New Roman"/>
                <w:sz w:val="24"/>
                <w:szCs w:val="24"/>
              </w:rPr>
              <w:t>Mean value</w:t>
            </w:r>
          </w:p>
        </w:tc>
        <w:tc>
          <w:tcPr>
            <w:tcW w:w="1592" w:type="dxa"/>
            <w:noWrap/>
          </w:tcPr>
          <w:p w14:paraId="081BDEBD" w14:textId="77777777" w:rsidR="001308EF" w:rsidRPr="005558EC" w:rsidRDefault="001308EF" w:rsidP="00C9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EC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2143" w:type="dxa"/>
          </w:tcPr>
          <w:p w14:paraId="303CB7FA" w14:textId="77777777" w:rsidR="001308EF" w:rsidRPr="005558EC" w:rsidRDefault="001308EF" w:rsidP="00C9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EC">
              <w:rPr>
                <w:rFonts w:ascii="Times New Roman" w:hAnsi="Times New Roman" w:cs="Times New Roman"/>
                <w:sz w:val="24"/>
                <w:szCs w:val="24"/>
              </w:rPr>
              <w:t>Calculated</w:t>
            </w:r>
          </w:p>
        </w:tc>
      </w:tr>
    </w:tbl>
    <w:p w14:paraId="342C54CF" w14:textId="77777777" w:rsidR="001308EF" w:rsidRDefault="001308EF">
      <w:pPr>
        <w:rPr>
          <w:rFonts w:asciiTheme="majorBidi" w:hAnsiTheme="majorBidi" w:cstheme="majorBidi"/>
          <w:sz w:val="24"/>
          <w:szCs w:val="24"/>
        </w:rPr>
      </w:pPr>
    </w:p>
    <w:p w14:paraId="2CF43A45" w14:textId="6537B550" w:rsidR="009778D8" w:rsidRPr="005558EC" w:rsidRDefault="00F5580C" w:rsidP="003D42D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="00061BE0" w:rsidRPr="005558EC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S.</w:t>
      </w:r>
      <w:r w:rsidR="009778D8" w:rsidRPr="005558EC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3D42DA" w:rsidRPr="005558E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778D8" w:rsidRPr="006D3493">
        <w:rPr>
          <w:rFonts w:asciiTheme="majorBidi" w:hAnsiTheme="majorBidi" w:cstheme="majorBidi"/>
          <w:b/>
          <w:bCs/>
          <w:sz w:val="24"/>
          <w:szCs w:val="24"/>
        </w:rPr>
        <w:t>Estimated total</w:t>
      </w:r>
      <w:r w:rsidR="003D42DA" w:rsidRPr="005558EC">
        <w:rPr>
          <w:rFonts w:asciiTheme="majorBidi" w:hAnsiTheme="majorBidi" w:cstheme="majorBidi"/>
          <w:b/>
          <w:bCs/>
          <w:sz w:val="24"/>
          <w:szCs w:val="24"/>
        </w:rPr>
        <w:t xml:space="preserve"> number of </w:t>
      </w:r>
      <w:r w:rsidR="009778D8" w:rsidRPr="005558EC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3D42DA" w:rsidRPr="005558EC">
        <w:rPr>
          <w:rFonts w:asciiTheme="majorBidi" w:hAnsiTheme="majorBidi" w:cstheme="majorBidi"/>
          <w:b/>
          <w:bCs/>
          <w:sz w:val="24"/>
          <w:szCs w:val="24"/>
        </w:rPr>
        <w:t>rban trees</w:t>
      </w:r>
      <w:r w:rsidR="009778D8" w:rsidRPr="005558EC">
        <w:rPr>
          <w:rFonts w:asciiTheme="majorBidi" w:hAnsiTheme="majorBidi" w:cstheme="majorBidi"/>
          <w:b/>
          <w:bCs/>
          <w:sz w:val="24"/>
          <w:szCs w:val="24"/>
        </w:rPr>
        <w:t xml:space="preserve"> affected by a PSHB </w:t>
      </w:r>
      <w:proofErr w:type="gramStart"/>
      <w:r w:rsidR="009778D8" w:rsidRPr="005558EC">
        <w:rPr>
          <w:rFonts w:asciiTheme="majorBidi" w:hAnsiTheme="majorBidi" w:cstheme="majorBidi"/>
          <w:b/>
          <w:bCs/>
          <w:sz w:val="24"/>
          <w:szCs w:val="24"/>
        </w:rPr>
        <w:t>invasion</w:t>
      </w:r>
      <w:proofErr w:type="gramEnd"/>
    </w:p>
    <w:tbl>
      <w:tblPr>
        <w:tblStyle w:val="TableGrid"/>
        <w:tblW w:w="9989" w:type="dxa"/>
        <w:tblLayout w:type="fixed"/>
        <w:tblLook w:val="04A0" w:firstRow="1" w:lastRow="0" w:firstColumn="1" w:lastColumn="0" w:noHBand="0" w:noVBand="1"/>
      </w:tblPr>
      <w:tblGrid>
        <w:gridCol w:w="1723"/>
        <w:gridCol w:w="725"/>
        <w:gridCol w:w="475"/>
        <w:gridCol w:w="1303"/>
        <w:gridCol w:w="1303"/>
        <w:gridCol w:w="1554"/>
        <w:gridCol w:w="1276"/>
        <w:gridCol w:w="1630"/>
      </w:tblGrid>
      <w:tr w:rsidR="00F76618" w:rsidRPr="00041ECB" w14:paraId="68F0965A" w14:textId="77777777" w:rsidTr="00041ECB">
        <w:trPr>
          <w:trHeight w:val="353"/>
        </w:trPr>
        <w:tc>
          <w:tcPr>
            <w:tcW w:w="1723" w:type="dxa"/>
            <w:noWrap/>
          </w:tcPr>
          <w:p w14:paraId="68F09653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00" w:type="dxa"/>
            <w:gridSpan w:val="2"/>
            <w:noWrap/>
          </w:tcPr>
          <w:p w14:paraId="68F09654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Tree coverage </w:t>
            </w:r>
          </w:p>
        </w:tc>
        <w:tc>
          <w:tcPr>
            <w:tcW w:w="1303" w:type="dxa"/>
            <w:noWrap/>
          </w:tcPr>
          <w:p w14:paraId="68F09655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Source</w:t>
            </w:r>
          </w:p>
        </w:tc>
        <w:tc>
          <w:tcPr>
            <w:tcW w:w="1303" w:type="dxa"/>
          </w:tcPr>
          <w:p w14:paraId="68F09656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Urban area (ha)</w:t>
            </w:r>
          </w:p>
        </w:tc>
        <w:tc>
          <w:tcPr>
            <w:tcW w:w="1554" w:type="dxa"/>
          </w:tcPr>
          <w:p w14:paraId="68F09657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Source</w:t>
            </w:r>
          </w:p>
        </w:tc>
        <w:tc>
          <w:tcPr>
            <w:tcW w:w="1276" w:type="dxa"/>
          </w:tcPr>
          <w:p w14:paraId="68F09658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Number of trees (million)</w:t>
            </w:r>
          </w:p>
        </w:tc>
        <w:tc>
          <w:tcPr>
            <w:tcW w:w="1630" w:type="dxa"/>
          </w:tcPr>
          <w:p w14:paraId="68F09659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Source</w:t>
            </w:r>
          </w:p>
        </w:tc>
      </w:tr>
      <w:tr w:rsidR="00F76618" w:rsidRPr="00041ECB" w14:paraId="68F09664" w14:textId="77777777" w:rsidTr="00041ECB">
        <w:trPr>
          <w:trHeight w:val="353"/>
        </w:trPr>
        <w:tc>
          <w:tcPr>
            <w:tcW w:w="1723" w:type="dxa"/>
            <w:noWrap/>
            <w:hideMark/>
          </w:tcPr>
          <w:p w14:paraId="68F0965B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Cape Town</w:t>
            </w:r>
          </w:p>
        </w:tc>
        <w:tc>
          <w:tcPr>
            <w:tcW w:w="725" w:type="dxa"/>
            <w:noWrap/>
            <w:hideMark/>
          </w:tcPr>
          <w:p w14:paraId="68F0965C" w14:textId="77777777" w:rsidR="003D42DA" w:rsidRPr="00041ECB" w:rsidRDefault="003D42DA" w:rsidP="00C7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13.4</w:t>
            </w:r>
          </w:p>
        </w:tc>
        <w:tc>
          <w:tcPr>
            <w:tcW w:w="475" w:type="dxa"/>
            <w:noWrap/>
            <w:hideMark/>
          </w:tcPr>
          <w:p w14:paraId="68F0965D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%</w:t>
            </w:r>
          </w:p>
        </w:tc>
        <w:tc>
          <w:tcPr>
            <w:tcW w:w="1303" w:type="dxa"/>
            <w:noWrap/>
            <w:hideMark/>
          </w:tcPr>
          <w:p w14:paraId="68F0965E" w14:textId="3B0DB33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Treepedia</w:t>
            </w:r>
            <w:proofErr w:type="spellEnd"/>
            <w:r w:rsidR="00A16CB1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r w:rsidR="00C8568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2020</w:t>
            </w:r>
            <w:r w:rsidR="00A16CB1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)</w:t>
            </w:r>
          </w:p>
        </w:tc>
        <w:tc>
          <w:tcPr>
            <w:tcW w:w="1303" w:type="dxa"/>
          </w:tcPr>
          <w:p w14:paraId="68F0965F" w14:textId="378CA718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400</w:t>
            </w:r>
            <w:r w:rsidR="00B13C6C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300</w:t>
            </w:r>
          </w:p>
        </w:tc>
        <w:tc>
          <w:tcPr>
            <w:tcW w:w="1554" w:type="dxa"/>
          </w:tcPr>
          <w:p w14:paraId="68F09660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</w:tcPr>
          <w:p w14:paraId="68F09661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13.8</w:t>
            </w:r>
          </w:p>
        </w:tc>
        <w:tc>
          <w:tcPr>
            <w:tcW w:w="1630" w:type="dxa"/>
          </w:tcPr>
          <w:p w14:paraId="68F09662" w14:textId="7F90079F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Calc</w:t>
            </w:r>
            <w:r w:rsidR="00B74F3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ulation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ZA"/>
              </w:rPr>
              <w:t>1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</w:p>
          <w:p w14:paraId="68F09663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F76618" w:rsidRPr="00041ECB" w14:paraId="68F0966E" w14:textId="77777777" w:rsidTr="00041ECB">
        <w:trPr>
          <w:trHeight w:val="353"/>
        </w:trPr>
        <w:tc>
          <w:tcPr>
            <w:tcW w:w="1723" w:type="dxa"/>
            <w:noWrap/>
            <w:hideMark/>
          </w:tcPr>
          <w:p w14:paraId="68F09665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Johannesburg</w:t>
            </w:r>
          </w:p>
        </w:tc>
        <w:tc>
          <w:tcPr>
            <w:tcW w:w="725" w:type="dxa"/>
            <w:noWrap/>
            <w:hideMark/>
          </w:tcPr>
          <w:p w14:paraId="68F09666" w14:textId="77777777" w:rsidR="003D42DA" w:rsidRPr="00041ECB" w:rsidRDefault="003D42DA" w:rsidP="00C7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23.6</w:t>
            </w:r>
          </w:p>
        </w:tc>
        <w:tc>
          <w:tcPr>
            <w:tcW w:w="475" w:type="dxa"/>
            <w:noWrap/>
            <w:hideMark/>
          </w:tcPr>
          <w:p w14:paraId="68F09667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%</w:t>
            </w:r>
          </w:p>
        </w:tc>
        <w:tc>
          <w:tcPr>
            <w:tcW w:w="1303" w:type="dxa"/>
            <w:noWrap/>
            <w:hideMark/>
          </w:tcPr>
          <w:p w14:paraId="68F09668" w14:textId="668B787B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Treepedia</w:t>
            </w:r>
            <w:proofErr w:type="spellEnd"/>
            <w:r w:rsidR="00133274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r w:rsidR="00C8568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2020</w:t>
            </w:r>
            <w:r w:rsidR="00133274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)</w:t>
            </w:r>
          </w:p>
        </w:tc>
        <w:tc>
          <w:tcPr>
            <w:tcW w:w="1303" w:type="dxa"/>
          </w:tcPr>
          <w:p w14:paraId="68F0966A" w14:textId="1A8BB876" w:rsidR="003D42DA" w:rsidRPr="00041ECB" w:rsidRDefault="003D42DA" w:rsidP="00F76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164</w:t>
            </w:r>
            <w:r w:rsidR="00B13C6C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542</w:t>
            </w:r>
          </w:p>
        </w:tc>
        <w:tc>
          <w:tcPr>
            <w:tcW w:w="1554" w:type="dxa"/>
          </w:tcPr>
          <w:p w14:paraId="68F0966B" w14:textId="17293702" w:rsidR="003D42DA" w:rsidRPr="00041ECB" w:rsidRDefault="00281260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ZA"/>
              </w:rPr>
              <w:t>Schäffler et al. (2013)</w:t>
            </w:r>
          </w:p>
        </w:tc>
        <w:tc>
          <w:tcPr>
            <w:tcW w:w="1276" w:type="dxa"/>
          </w:tcPr>
          <w:p w14:paraId="68F0966C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1630" w:type="dxa"/>
          </w:tcPr>
          <w:p w14:paraId="68F0966D" w14:textId="6D741364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JUFA</w:t>
            </w:r>
            <w:r w:rsidR="003F6C8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(2020)</w:t>
            </w:r>
          </w:p>
        </w:tc>
      </w:tr>
      <w:tr w:rsidR="00F76618" w:rsidRPr="00041ECB" w14:paraId="68F09677" w14:textId="77777777" w:rsidTr="00041ECB">
        <w:trPr>
          <w:trHeight w:val="353"/>
        </w:trPr>
        <w:tc>
          <w:tcPr>
            <w:tcW w:w="1723" w:type="dxa"/>
            <w:noWrap/>
            <w:hideMark/>
          </w:tcPr>
          <w:p w14:paraId="68F0966F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Durban</w:t>
            </w:r>
          </w:p>
        </w:tc>
        <w:tc>
          <w:tcPr>
            <w:tcW w:w="725" w:type="dxa"/>
            <w:noWrap/>
            <w:hideMark/>
          </w:tcPr>
          <w:p w14:paraId="68F09670" w14:textId="77777777" w:rsidR="003D42DA" w:rsidRPr="00041ECB" w:rsidRDefault="003D42DA" w:rsidP="00C7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23.7</w:t>
            </w:r>
          </w:p>
        </w:tc>
        <w:tc>
          <w:tcPr>
            <w:tcW w:w="475" w:type="dxa"/>
            <w:noWrap/>
            <w:hideMark/>
          </w:tcPr>
          <w:p w14:paraId="68F09671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%</w:t>
            </w:r>
          </w:p>
        </w:tc>
        <w:tc>
          <w:tcPr>
            <w:tcW w:w="1303" w:type="dxa"/>
            <w:noWrap/>
            <w:hideMark/>
          </w:tcPr>
          <w:p w14:paraId="68F09672" w14:textId="39B9E518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Treepedia</w:t>
            </w:r>
            <w:proofErr w:type="spellEnd"/>
            <w:r w:rsidR="00133274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(</w:t>
            </w:r>
            <w:r w:rsidR="00C8568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2020</w:t>
            </w:r>
            <w:r w:rsidR="00133274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)</w:t>
            </w:r>
          </w:p>
        </w:tc>
        <w:tc>
          <w:tcPr>
            <w:tcW w:w="1303" w:type="dxa"/>
          </w:tcPr>
          <w:p w14:paraId="68F09673" w14:textId="5513C04E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229</w:t>
            </w:r>
            <w:r w:rsidR="00B13C6C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200</w:t>
            </w:r>
          </w:p>
        </w:tc>
        <w:tc>
          <w:tcPr>
            <w:tcW w:w="1554" w:type="dxa"/>
          </w:tcPr>
          <w:p w14:paraId="68F09674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</w:tcPr>
          <w:p w14:paraId="68F09675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14.0</w:t>
            </w:r>
          </w:p>
        </w:tc>
        <w:tc>
          <w:tcPr>
            <w:tcW w:w="1630" w:type="dxa"/>
          </w:tcPr>
          <w:p w14:paraId="68F09676" w14:textId="7F4B9D5B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Calc</w:t>
            </w:r>
            <w:r w:rsidR="00B74F3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ulation</w:t>
            </w:r>
            <w:r w:rsidR="003F6C8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ZA"/>
              </w:rPr>
              <w:t>2</w:t>
            </w:r>
          </w:p>
        </w:tc>
      </w:tr>
      <w:tr w:rsidR="00F76618" w:rsidRPr="00041ECB" w14:paraId="68F09680" w14:textId="77777777" w:rsidTr="00041ECB">
        <w:trPr>
          <w:trHeight w:val="353"/>
        </w:trPr>
        <w:tc>
          <w:tcPr>
            <w:tcW w:w="1723" w:type="dxa"/>
            <w:noWrap/>
          </w:tcPr>
          <w:p w14:paraId="68F09678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Sub-total</w:t>
            </w:r>
          </w:p>
        </w:tc>
        <w:tc>
          <w:tcPr>
            <w:tcW w:w="725" w:type="dxa"/>
            <w:noWrap/>
          </w:tcPr>
          <w:p w14:paraId="68F09679" w14:textId="77777777" w:rsidR="003D42DA" w:rsidRPr="00041ECB" w:rsidRDefault="003D42DA" w:rsidP="00C7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475" w:type="dxa"/>
            <w:noWrap/>
          </w:tcPr>
          <w:p w14:paraId="68F0967A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03" w:type="dxa"/>
            <w:noWrap/>
          </w:tcPr>
          <w:p w14:paraId="68F0967B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03" w:type="dxa"/>
          </w:tcPr>
          <w:p w14:paraId="68F0967C" w14:textId="4035B320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794</w:t>
            </w:r>
            <w:r w:rsidR="00B13C6C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042</w:t>
            </w:r>
          </w:p>
        </w:tc>
        <w:tc>
          <w:tcPr>
            <w:tcW w:w="1554" w:type="dxa"/>
          </w:tcPr>
          <w:p w14:paraId="68F0967D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</w:tcPr>
          <w:p w14:paraId="68F0967E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37.8</w:t>
            </w:r>
          </w:p>
        </w:tc>
        <w:tc>
          <w:tcPr>
            <w:tcW w:w="1630" w:type="dxa"/>
          </w:tcPr>
          <w:p w14:paraId="68F0967F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</w:tr>
      <w:tr w:rsidR="00F76618" w:rsidRPr="00041ECB" w14:paraId="68F09689" w14:textId="77777777" w:rsidTr="00041ECB">
        <w:trPr>
          <w:trHeight w:val="353"/>
        </w:trPr>
        <w:tc>
          <w:tcPr>
            <w:tcW w:w="1723" w:type="dxa"/>
            <w:noWrap/>
          </w:tcPr>
          <w:p w14:paraId="68F09681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Total Urban area (SA)</w:t>
            </w:r>
          </w:p>
        </w:tc>
        <w:tc>
          <w:tcPr>
            <w:tcW w:w="725" w:type="dxa"/>
            <w:noWrap/>
          </w:tcPr>
          <w:p w14:paraId="68F09682" w14:textId="77777777" w:rsidR="003D42DA" w:rsidRPr="00041ECB" w:rsidRDefault="003D42DA" w:rsidP="00C73E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475" w:type="dxa"/>
            <w:noWrap/>
          </w:tcPr>
          <w:p w14:paraId="68F09683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03" w:type="dxa"/>
            <w:noWrap/>
          </w:tcPr>
          <w:p w14:paraId="68F09684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03" w:type="dxa"/>
          </w:tcPr>
          <w:p w14:paraId="68F09685" w14:textId="4E3B4945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5</w:t>
            </w:r>
            <w:r w:rsidR="00B13C6C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 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346</w:t>
            </w:r>
            <w:r w:rsidR="00B13C6C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 xml:space="preserve"> </w:t>
            </w: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000</w:t>
            </w:r>
          </w:p>
        </w:tc>
        <w:tc>
          <w:tcPr>
            <w:tcW w:w="1554" w:type="dxa"/>
          </w:tcPr>
          <w:p w14:paraId="68F09686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</w:tcPr>
          <w:p w14:paraId="68F09687" w14:textId="77777777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254.5</w:t>
            </w:r>
          </w:p>
        </w:tc>
        <w:tc>
          <w:tcPr>
            <w:tcW w:w="1630" w:type="dxa"/>
          </w:tcPr>
          <w:p w14:paraId="68F09688" w14:textId="0078ED0C" w:rsidR="003D42DA" w:rsidRPr="00041ECB" w:rsidRDefault="003D42DA" w:rsidP="00C73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</w:pPr>
            <w:r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Calc</w:t>
            </w:r>
            <w:r w:rsidR="00B74F3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A"/>
              </w:rPr>
              <w:t>ulation</w:t>
            </w:r>
            <w:r w:rsidR="003F6C86" w:rsidRPr="0004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ZA"/>
              </w:rPr>
              <w:t>3</w:t>
            </w:r>
          </w:p>
        </w:tc>
      </w:tr>
    </w:tbl>
    <w:p w14:paraId="732781DD" w14:textId="77777777" w:rsidR="006E7D48" w:rsidRDefault="006E7D48" w:rsidP="003D42DA">
      <w:pPr>
        <w:rPr>
          <w:rStyle w:val="Emphasis"/>
        </w:rPr>
      </w:pPr>
    </w:p>
    <w:p w14:paraId="1527361F" w14:textId="5B3CE49C" w:rsidR="00BE78CE" w:rsidRPr="005558EC" w:rsidRDefault="00BE78CE" w:rsidP="003D42DA">
      <w:pPr>
        <w:rPr>
          <w:rStyle w:val="Emphasis"/>
        </w:rPr>
      </w:pPr>
      <w:r w:rsidRPr="005558EC">
        <w:rPr>
          <w:rStyle w:val="Emphasis"/>
        </w:rPr>
        <w:t>Notes:</w:t>
      </w:r>
    </w:p>
    <w:p w14:paraId="68F0968C" w14:textId="47217BD5" w:rsidR="003D42DA" w:rsidRPr="00041ECB" w:rsidRDefault="003D42DA" w:rsidP="003F6C86">
      <w:pPr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</w:pPr>
      <w:r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</w:t>
      </w:r>
      <w:r w:rsid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)</w:t>
      </w:r>
      <w:r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10</w:t>
      </w:r>
      <w:r w:rsidR="00971A4A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m trees</w:t>
      </w:r>
      <w:r w:rsidR="00B47484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/</w:t>
      </w:r>
      <w:r w:rsidR="00B47484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164</w:t>
      </w:r>
      <w:r w:rsidR="00B13C6C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542</w:t>
      </w:r>
      <w:r w:rsidR="00971A4A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ha</w:t>
      </w:r>
      <w:r w:rsidR="00B47484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/</w:t>
      </w:r>
      <w:r w:rsidR="00B47484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23.6</w:t>
      </w:r>
      <w:r w:rsidR="00971A4A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%</w:t>
      </w:r>
      <w:r w:rsidR="00B13C6C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*</w:t>
      </w:r>
      <w:r w:rsidR="00B13C6C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13.4</w:t>
      </w:r>
      <w:r w:rsidR="00971A4A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%</w:t>
      </w:r>
      <w:r w:rsidR="00B13C6C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*</w:t>
      </w:r>
      <w:r w:rsidR="00B13C6C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400</w:t>
      </w:r>
      <w:r w:rsidR="00B13C6C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 xml:space="preserve"> </w:t>
      </w:r>
      <w:r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300</w:t>
      </w:r>
      <w:r w:rsidR="00971A4A" w:rsidRPr="00041EC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vertAlign w:val="superscript"/>
          <w:lang w:eastAsia="en-ZA"/>
        </w:rPr>
        <w:t>ha</w:t>
      </w:r>
    </w:p>
    <w:p w14:paraId="3054BB7B" w14:textId="39E20DFB" w:rsidR="004F5C80" w:rsidRPr="00041ECB" w:rsidRDefault="004F5C80" w:rsidP="003F6C86">
      <w:pPr>
        <w:rPr>
          <w:rFonts w:asciiTheme="majorBidi" w:hAnsiTheme="majorBidi" w:cstheme="majorBidi"/>
          <w:i/>
          <w:iCs/>
          <w:sz w:val="24"/>
          <w:szCs w:val="24"/>
          <w:vertAlign w:val="superscript"/>
        </w:rPr>
      </w:pPr>
      <w:r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)</w:t>
      </w:r>
      <w:r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10m trees /164 542ha / 23.6% * 23.7% * 229 200ha</w:t>
      </w:r>
    </w:p>
    <w:p w14:paraId="68F0968D" w14:textId="303F1B6B" w:rsidR="003D42DA" w:rsidRPr="00041ECB" w:rsidRDefault="003F6C86" w:rsidP="003F6C86">
      <w:pPr>
        <w:rPr>
          <w:rFonts w:asciiTheme="majorBidi" w:hAnsiTheme="majorBidi" w:cstheme="majorBidi"/>
          <w:i/>
          <w:iCs/>
          <w:sz w:val="24"/>
          <w:szCs w:val="24"/>
          <w:vertAlign w:val="superscript"/>
        </w:rPr>
      </w:pPr>
      <w:r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3</w:t>
      </w:r>
      <w:r w:rsid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)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5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 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346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 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000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971A4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ha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/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794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 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042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971A4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ha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</w:t>
      </w:r>
      <w:r w:rsidR="00B47484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3D42D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37.8</w:t>
      </w:r>
      <w:r w:rsidR="00971A4A" w:rsidRPr="00041ECB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m trees</w:t>
      </w:r>
    </w:p>
    <w:p w14:paraId="68F09694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</w:p>
    <w:p w14:paraId="68F09696" w14:textId="17FE1B83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5558EC">
        <w:rPr>
          <w:rFonts w:asciiTheme="majorBidi" w:hAnsiTheme="majorBidi" w:cstheme="majorBidi"/>
          <w:b/>
          <w:bCs/>
          <w:sz w:val="24"/>
          <w:szCs w:val="24"/>
        </w:rPr>
        <w:t xml:space="preserve">Equations used in the </w:t>
      </w:r>
      <w:proofErr w:type="gramStart"/>
      <w:r w:rsidRPr="005558EC">
        <w:rPr>
          <w:rFonts w:asciiTheme="majorBidi" w:hAnsiTheme="majorBidi" w:cstheme="majorBidi"/>
          <w:b/>
          <w:bCs/>
          <w:sz w:val="24"/>
          <w:szCs w:val="24"/>
        </w:rPr>
        <w:t>model</w:t>
      </w:r>
      <w:proofErr w:type="gramEnd"/>
    </w:p>
    <w:p w14:paraId="68F09697" w14:textId="77777777" w:rsidR="003D42DA" w:rsidRPr="00F76618" w:rsidRDefault="003D42DA" w:rsidP="003D42DA">
      <w:pPr>
        <w:pBdr>
          <w:top w:val="double" w:sz="6" w:space="1" w:color="auto"/>
          <w:bottom w:val="doub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Equations</w:t>
      </w:r>
    </w:p>
    <w:p w14:paraId="68F09698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Avocado trees with dieback= INTEG (avocado growth-avocado mortality,</w:t>
      </w:r>
    </w:p>
    <w:p w14:paraId="68F09699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</w:r>
      <w:r w:rsidRPr="00F76618">
        <w:rPr>
          <w:rFonts w:asciiTheme="majorBidi" w:hAnsiTheme="majorBidi" w:cstheme="majorBidi"/>
          <w:sz w:val="24"/>
          <w:szCs w:val="24"/>
        </w:rPr>
        <w:tab/>
        <w:t>initial number of avocado trees)</w:t>
      </w:r>
    </w:p>
    <w:p w14:paraId="68F0969A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9B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growth price avocados=</w:t>
      </w:r>
      <w:r w:rsidRPr="00F76618">
        <w:rPr>
          <w:rFonts w:asciiTheme="majorBidi" w:hAnsiTheme="majorBidi" w:cstheme="majorBidi"/>
          <w:sz w:val="24"/>
          <w:szCs w:val="24"/>
        </w:rPr>
        <w:tab/>
        <w:t>growth rate price avocados*producer price Avocados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Dollar/(tonne*Month)</w:t>
      </w:r>
    </w:p>
    <w:p w14:paraId="68F0969C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External cost urban trees= INTEG (rate, 0)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</w:t>
      </w:r>
    </w:p>
    <w:p w14:paraId="68F0969D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tree spread= </w:t>
      </w:r>
      <w:r w:rsidRPr="00F76618">
        <w:rPr>
          <w:rFonts w:asciiTheme="majorBidi" w:hAnsiTheme="majorBidi" w:cstheme="majorBidi"/>
          <w:sz w:val="24"/>
          <w:szCs w:val="24"/>
        </w:rPr>
        <w:tab/>
        <w:t>urban tree growth rate*Urban trees</w:t>
      </w:r>
    </w:p>
    <w:p w14:paraId="68F0969E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9F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Polyphagous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Shothole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Borer= INTEG (</w:t>
      </w:r>
    </w:p>
    <w:p w14:paraId="68F096A0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growth PSHB-mortality PSHB,</w:t>
      </w:r>
    </w:p>
    <w:p w14:paraId="68F096A1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</w:r>
      <w:r w:rsidRPr="00F76618">
        <w:rPr>
          <w:rFonts w:asciiTheme="majorBidi" w:hAnsiTheme="majorBidi" w:cstheme="majorBidi"/>
          <w:sz w:val="24"/>
          <w:szCs w:val="24"/>
        </w:rPr>
        <w:tab/>
        <w:t>initial proportion PSHB)</w:t>
      </w:r>
    </w:p>
    <w:p w14:paraId="68F096A2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Dmnl</w:t>
      </w:r>
      <w:proofErr w:type="spellEnd"/>
    </w:p>
    <w:p w14:paraId="68F096A3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no of trees infested (assumption) x no. of PSHB per tree</w:t>
      </w:r>
    </w:p>
    <w:p w14:paraId="68F096A4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>= INTEG (</w:t>
      </w:r>
    </w:p>
    <w:p w14:paraId="68F096A5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lastRenderedPageBreak/>
        <w:tab/>
        <w:t>growth Fusarium-mortality Fusarium,</w:t>
      </w:r>
    </w:p>
    <w:p w14:paraId="68F096A6" w14:textId="77777777" w:rsidR="003D42DA" w:rsidRPr="00F76618" w:rsidRDefault="003D42DA" w:rsidP="003D42D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~</w:t>
      </w:r>
      <w:r w:rsidRPr="00F76618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Dmnl</w:t>
      </w:r>
      <w:proofErr w:type="spellEnd"/>
    </w:p>
    <w:p w14:paraId="68F096A7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growth Fusarium=</w:t>
      </w:r>
    </w:p>
    <w:p w14:paraId="68F096A8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 xml:space="preserve">growth rate Fusarium*Fusarium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euwallaceae+beta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*Polyphagous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Shothole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Borer*Fusarium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</w:p>
    <w:p w14:paraId="68F096A9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1/Month</w:t>
      </w:r>
    </w:p>
    <w:p w14:paraId="68F096AA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growth PSHB=</w:t>
      </w:r>
    </w:p>
    <w:p w14:paraId="68F096AB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 xml:space="preserve">Polyphagous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Shothole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Borer*growth rate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PSHB+alpha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*Polyphagous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Shothole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Borer*Fusarium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</w:p>
    <w:p w14:paraId="68F096AC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1/Month</w:t>
      </w:r>
    </w:p>
    <w:p w14:paraId="68F096AD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producer price Avocados= INTEG (growth price avocados,</w:t>
      </w:r>
    </w:p>
    <w:p w14:paraId="68F096AE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19343/14.5*17.68/13)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Dollar/tonne</w:t>
      </w:r>
    </w:p>
    <w:p w14:paraId="68F096AF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constant 2019 International US$</w:t>
      </w:r>
    </w:p>
    <w:p w14:paraId="68F096B0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NPC avocado= INTEG (rate avocado, 0)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</w:t>
      </w:r>
    </w:p>
    <w:p w14:paraId="68F096B1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growth wattles= Wattle trees with dieback*growth rate wattle</w:t>
      </w:r>
    </w:p>
    <w:p w14:paraId="68F096B2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B3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growth price wattle bark= growth rate price wattle*producer price wattle bark</w:t>
      </w:r>
    </w:p>
    <w:p w14:paraId="68F096B4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Dollar/(tonne*Month)</w:t>
      </w:r>
    </w:p>
    <w:p w14:paraId="68F096B5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producer price wattle bark= INTEG (growth price wattle bark,</w:t>
      </w:r>
    </w:p>
    <w:p w14:paraId="68F096B6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1545/14.5*17.68/13)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Dollar/tonne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constant 2019 prices</w:t>
      </w:r>
    </w:p>
    <w:p w14:paraId="68F096B7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NPC wattle= INTEG (rate wattle, 0)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</w:t>
      </w:r>
    </w:p>
    <w:p w14:paraId="68F096B8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avocado growth= Avocado trees with dieback*growth rate avocados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B9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Avocado producer value with dieback= 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producer price Avocados*production volume avocados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</w:p>
    <w:p w14:paraId="68F096BA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wattle mortality= growth rate wattle*Wattle trees with dieback^2/carrying capacity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wattle+Fusarium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mortality rate wattle*Wattle trees with dieback*Fusarium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BB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rate avocado=</w:t>
      </w:r>
      <w:r w:rsidRPr="00F76618">
        <w:rPr>
          <w:rFonts w:asciiTheme="majorBidi" w:hAnsiTheme="majorBidi" w:cstheme="majorBidi"/>
          <w:sz w:val="24"/>
          <w:szCs w:val="24"/>
        </w:rPr>
        <w:tab/>
        <w:t>(Avocado producer value baseline-Avocado producer value with dieback)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/(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>(1+monthly effective discount rate)^(Time/TIME STEP))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</w:p>
    <w:p w14:paraId="68F096BC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rate wattle= (wattle producer value baseline-wattle producer value with dieback)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/(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>(1+monthly effective discount rate)^(Time/TIME STEP))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</w:p>
    <w:p w14:paraId="68F096BD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wattle trees baseline= INTEG (growth wattles baseline-mortality wattles baseline, 2.73304e+006)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BE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lastRenderedPageBreak/>
        <w:t xml:space="preserve">growth wattles baseline= growth rate wattle*wattle trees baseline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BF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Wattle trees with dieback= INTEG (growth wattles-wattle mortality, Initial number of trees wattle bark)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C0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avocado growth baseline= Avocado trees baseline*growth rate avocados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C1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avocado mortality= growth rate avocados*Avocado trees with dieback^2/carrying capacity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avocados+Avocado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trees with dieback*Fusarium mortality rate avocados*Fusarium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C2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avocado mortality baseline= growth rate avocados*Avocado trees baseline^2/carrying capacity avocados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C3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mortality wattles baseline= growth rate wattle*wattle trees baseline^2/carrying capacity wattle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C4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Avocado trees baseline= INTEG (avocado growth baseline-avocado mortality baseline, initial number of avocado trees)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C5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carrying capacity avocados= 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initial number of avocado 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trees/proportion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 xml:space="preserve"> of total production</w:t>
      </w:r>
    </w:p>
    <w:p w14:paraId="68F096C6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C7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carrying capacity wattle=Initial number of trees wattle bark*ratio maximum to initial wattle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C8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production volume wattle bark= area planted wattle bark*production bark per hectare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tonne/Month</w:t>
      </w:r>
    </w:p>
    <w:p w14:paraId="68F096C9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urban tree mortality= urban tree growth rate*Urban trees^2/carrying capacity urban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trees+Fusarium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*Fusarium mortality rate urban trees*Urban trees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CA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Carrying capacity PSHB number=</w:t>
      </w:r>
      <w:r w:rsidRPr="00F76618">
        <w:rPr>
          <w:rFonts w:asciiTheme="majorBidi" w:hAnsiTheme="majorBidi" w:cstheme="majorBidi"/>
          <w:sz w:val="24"/>
          <w:szCs w:val="24"/>
        </w:rPr>
        <w:tab/>
        <w:t>average number PSH</w:t>
      </w:r>
      <w:r w:rsidR="001C33DB" w:rsidRPr="00F76618">
        <w:rPr>
          <w:rFonts w:asciiTheme="majorBidi" w:hAnsiTheme="majorBidi" w:cstheme="majorBidi"/>
          <w:sz w:val="24"/>
          <w:szCs w:val="24"/>
        </w:rPr>
        <w:t xml:space="preserve">B per tree*maximum number of trees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number</w:t>
      </w:r>
    </w:p>
    <w:p w14:paraId="68F096CB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average number PSHB per tree= average weight of tree*number of PSHB per kilogram host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number/tree</w:t>
      </w:r>
    </w:p>
    <w:p w14:paraId="68F096CC" w14:textId="77777777" w:rsidR="003D42DA" w:rsidRPr="00F76618" w:rsidRDefault="003D42DA" w:rsidP="001C33DB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mortality PSHB= (growth rate PSHB*Polyphagous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Shothole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Borer^2)/carryin</w:t>
      </w:r>
      <w:r w:rsidR="001C33DB" w:rsidRPr="00F76618">
        <w:rPr>
          <w:rFonts w:asciiTheme="majorBidi" w:hAnsiTheme="majorBidi" w:cstheme="majorBidi"/>
          <w:sz w:val="24"/>
          <w:szCs w:val="24"/>
        </w:rPr>
        <w:t>g capacity PSHB proportion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1/Month</w:t>
      </w:r>
    </w:p>
    <w:p w14:paraId="68F096CD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wattle producer value with dieback= 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producer price wattle bark*production volume wattle bark*adjustment factor for timber products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Dollar/Month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2019 constant prices</w:t>
      </w:r>
    </w:p>
    <w:p w14:paraId="68F096CE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decline trees treated=</w:t>
      </w:r>
      <w:r w:rsidRPr="00F76618">
        <w:rPr>
          <w:rFonts w:asciiTheme="majorBidi" w:hAnsiTheme="majorBidi" w:cstheme="majorBidi"/>
          <w:sz w:val="24"/>
          <w:szCs w:val="24"/>
        </w:rPr>
        <w:tab/>
        <w:t>growth rate trees treated*number of infected trees treated^2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/(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 xml:space="preserve">maximum trees treated*Fusarium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>)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CF" w14:textId="77777777" w:rsidR="003D42DA" w:rsidRPr="00F76618" w:rsidRDefault="003D42DA" w:rsidP="001C33DB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mortality Fusarium= (growth rate Fusarium*Fusarium euwallaceae^2)/carrying capacity Fusarium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1/Month</w:t>
      </w:r>
    </w:p>
    <w:p w14:paraId="68F096D0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primary forest mortality= Fusarium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euwallaceae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*Fusarium mortality rate primary forests*Primary forest with dieback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hectare/Month</w:t>
      </w:r>
    </w:p>
    <w:p w14:paraId="68F096D1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lastRenderedPageBreak/>
        <w:t xml:space="preserve">NPC primary forest= INTEG (rate forest, 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0)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</w:t>
      </w:r>
    </w:p>
    <w:p w14:paraId="68F096D2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rate forest= (average carbon density*loss due to PSHB*unit carbon value*factor for other values from forests)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/(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>(1+monthly effective discount rate)^(Time/TIME STEP))</w:t>
      </w:r>
    </w:p>
    <w:p w14:paraId="68F096D3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</w:p>
    <w:p w14:paraId="68F096D4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Primary forest with dieback= INTEG (growth forests-primary forest mortality,</w:t>
      </w:r>
      <w:r w:rsidRPr="00F76618">
        <w:rPr>
          <w:rFonts w:asciiTheme="majorBidi" w:hAnsiTheme="majorBidi" w:cstheme="majorBidi"/>
          <w:sz w:val="24"/>
          <w:szCs w:val="24"/>
        </w:rPr>
        <w:tab/>
      </w:r>
      <w:r w:rsidRPr="00F76618">
        <w:rPr>
          <w:rFonts w:asciiTheme="majorBidi" w:hAnsiTheme="majorBidi" w:cstheme="majorBidi"/>
          <w:sz w:val="24"/>
          <w:szCs w:val="24"/>
        </w:rPr>
        <w:tab/>
        <w:t>947000)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hectare</w:t>
      </w:r>
    </w:p>
    <w:p w14:paraId="68F096D5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Urban trees= INTEG (tree spread-urban tree mortality, urban trees no dieback)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D6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Social cost= 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Financial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cost+External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cost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Dollar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2019 International dollars</w:t>
      </w:r>
    </w:p>
    <w:p w14:paraId="68F096D7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External cost= </w:t>
      </w:r>
      <w:r w:rsidRPr="00F76618">
        <w:rPr>
          <w:rFonts w:asciiTheme="majorBidi" w:hAnsiTheme="majorBidi" w:cstheme="majorBidi"/>
          <w:sz w:val="24"/>
          <w:szCs w:val="24"/>
        </w:rPr>
        <w:tab/>
        <w:t xml:space="preserve">NPC primary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forest+External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cost urban trees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</w:t>
      </w:r>
    </w:p>
    <w:p w14:paraId="68F096D8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initial proportion PSHB= </w:t>
      </w:r>
      <w:r w:rsidRPr="00F76618">
        <w:rPr>
          <w:rFonts w:asciiTheme="majorBidi" w:hAnsiTheme="majorBidi" w:cstheme="majorBidi"/>
          <w:sz w:val="24"/>
          <w:szCs w:val="24"/>
        </w:rPr>
        <w:tab/>
        <w:t>number PSHB per tree*initial no of trees infested/Carrying capacity PSHB number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Dmnl</w:t>
      </w:r>
      <w:proofErr w:type="spellEnd"/>
    </w:p>
    <w:p w14:paraId="68F096D9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monthly effective discount rate= (1+annual discount 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rate)^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 xml:space="preserve">(1/12)-1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Dmnl</w:t>
      </w:r>
      <w:proofErr w:type="spellEnd"/>
    </w:p>
    <w:p w14:paraId="68F096DA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growth forests= growth rate natural forests*Primary forest with dieback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hectare/Month</w:t>
      </w:r>
    </w:p>
    <w:p w14:paraId="68F096DB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rate private cost</w:t>
      </w:r>
      <w:r w:rsidR="001C33DB" w:rsidRPr="00F76618">
        <w:rPr>
          <w:rFonts w:asciiTheme="majorBidi" w:hAnsiTheme="majorBidi" w:cstheme="majorBidi"/>
          <w:sz w:val="24"/>
          <w:szCs w:val="24"/>
        </w:rPr>
        <w:t>= (urban tree mortality</w:t>
      </w:r>
      <w:r w:rsidRPr="00F76618">
        <w:rPr>
          <w:rFonts w:asciiTheme="majorBidi" w:hAnsiTheme="majorBidi" w:cstheme="majorBidi"/>
          <w:sz w:val="24"/>
          <w:szCs w:val="24"/>
        </w:rPr>
        <w:t>*physical clearing cost)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/(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 xml:space="preserve">(1+monthly effective discount rate)^(Time/TIME STEP))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</w:p>
    <w:p w14:paraId="68F096DC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rate</w:t>
      </w:r>
      <w:r w:rsidR="001C33DB" w:rsidRPr="00F76618">
        <w:rPr>
          <w:rFonts w:asciiTheme="majorBidi" w:hAnsiTheme="majorBidi" w:cstheme="majorBidi"/>
          <w:sz w:val="24"/>
          <w:szCs w:val="24"/>
        </w:rPr>
        <w:t>= (urban tree mortality</w:t>
      </w:r>
      <w:r w:rsidRPr="00F76618">
        <w:rPr>
          <w:rFonts w:asciiTheme="majorBidi" w:hAnsiTheme="majorBidi" w:cstheme="majorBidi"/>
          <w:sz w:val="24"/>
          <w:szCs w:val="24"/>
        </w:rPr>
        <w:t>*Value of urban trees)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/(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>(1+monthly effective discount rate)^(Time/TIME STEP))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</w:p>
    <w:p w14:paraId="68F096DD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effectiveness of treatment= biocontrol*IF THEN ELSE(Time&gt;</w:t>
      </w:r>
      <w:proofErr w:type="gramStart"/>
      <w:r w:rsidRPr="00F76618">
        <w:rPr>
          <w:rFonts w:asciiTheme="majorBidi" w:hAnsiTheme="majorBidi" w:cstheme="majorBidi"/>
          <w:sz w:val="24"/>
          <w:szCs w:val="24"/>
        </w:rPr>
        <w:t>59,effectiveness</w:t>
      </w:r>
      <w:proofErr w:type="gramEnd"/>
      <w:r w:rsidRPr="00F76618">
        <w:rPr>
          <w:rFonts w:asciiTheme="majorBidi" w:hAnsiTheme="majorBidi" w:cstheme="majorBidi"/>
          <w:sz w:val="24"/>
          <w:szCs w:val="24"/>
        </w:rPr>
        <w:t xml:space="preserve"> biocontrol,0)+physical clearing*effectiveness physical clearing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1/Month</w:t>
      </w:r>
    </w:p>
    <w:p w14:paraId="68F096DE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Private cost= INTEG (rate private cost, </w:t>
      </w:r>
      <w:r w:rsidRPr="00F76618">
        <w:rPr>
          <w:rFonts w:asciiTheme="majorBidi" w:hAnsiTheme="majorBidi" w:cstheme="majorBidi"/>
          <w:sz w:val="24"/>
          <w:szCs w:val="24"/>
        </w:rPr>
        <w:tab/>
      </w:r>
      <w:r w:rsidRPr="00F76618">
        <w:rPr>
          <w:rFonts w:asciiTheme="majorBidi" w:hAnsiTheme="majorBidi" w:cstheme="majorBidi"/>
          <w:sz w:val="24"/>
          <w:szCs w:val="24"/>
        </w:rPr>
        <w:tab/>
        <w:t>0)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</w:t>
      </w:r>
    </w:p>
    <w:p w14:paraId="68F096DF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maximum trees treated= carrying capacity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avocados+carrying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capacity urban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trees+carrying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capacity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wattle+initial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area primary forest\number of trees per hectare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</w:t>
      </w:r>
    </w:p>
    <w:p w14:paraId="68F096E0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Financial cost= NPC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avocado+NPC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6618">
        <w:rPr>
          <w:rFonts w:asciiTheme="majorBidi" w:hAnsiTheme="majorBidi" w:cstheme="majorBidi"/>
          <w:sz w:val="24"/>
          <w:szCs w:val="24"/>
        </w:rPr>
        <w:t>wattle+Private</w:t>
      </w:r>
      <w:proofErr w:type="spellEnd"/>
      <w:r w:rsidRPr="00F76618">
        <w:rPr>
          <w:rFonts w:asciiTheme="majorBidi" w:hAnsiTheme="majorBidi" w:cstheme="majorBidi"/>
          <w:sz w:val="24"/>
          <w:szCs w:val="24"/>
        </w:rPr>
        <w:t xml:space="preserve"> cost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</w:t>
      </w:r>
    </w:p>
    <w:p w14:paraId="68F096E1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production volume avocados= </w:t>
      </w:r>
      <w:r w:rsidRPr="00F76618">
        <w:rPr>
          <w:rFonts w:asciiTheme="majorBidi" w:hAnsiTheme="majorBidi" w:cstheme="majorBidi"/>
          <w:sz w:val="24"/>
          <w:szCs w:val="24"/>
        </w:rPr>
        <w:tab/>
        <w:t>avocado production per tree*net growth avocados with dieback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tonne/Month</w:t>
      </w:r>
    </w:p>
    <w:p w14:paraId="68F096E2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area planted wattle bark= net growth wattle with dieback/wattle trees planted per hectare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hectare/Month</w:t>
      </w:r>
    </w:p>
    <w:p w14:paraId="68F096E3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Avocado producer value baseline= net growth avocados baseline*avocado production per tree*producer price Avocados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</w:p>
    <w:p w14:paraId="68F096E4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net growth wattle baseline= growth wattles baseline-mortality wattles baseline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E5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net growth wattle with dieback= growth wattles-wattle mortality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E6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loss due to PSHB= net growth primary forest no dieback-net growth forest with dieback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hectare/Month</w:t>
      </w:r>
    </w:p>
    <w:p w14:paraId="68F096E7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lastRenderedPageBreak/>
        <w:t>net growth avocados baseline=</w:t>
      </w:r>
      <w:r w:rsidRPr="00F76618">
        <w:rPr>
          <w:rFonts w:asciiTheme="majorBidi" w:hAnsiTheme="majorBidi" w:cstheme="majorBidi"/>
          <w:sz w:val="24"/>
          <w:szCs w:val="24"/>
        </w:rPr>
        <w:tab/>
        <w:t>avocado growth baseline-avocado mortality baseline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E8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net growth avocados with dieback= avocado growth-avocado mortality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tree/Month</w:t>
      </w:r>
    </w:p>
    <w:p w14:paraId="68F096E9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 xml:space="preserve">net growth forest with dieback= growth forests-primary forest mortality 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hectare/Month</w:t>
      </w:r>
    </w:p>
    <w:p w14:paraId="68F096EA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sz w:val="24"/>
          <w:szCs w:val="24"/>
        </w:rPr>
        <w:t>wattle producer value baseline= net growth wattle baseline/wattle trees planted per hectare*production bark per hectare*producer price wattle bark*adjustment factor for timber products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Dollar/Month</w:t>
      </w:r>
      <w:r w:rsidRPr="00F76618">
        <w:rPr>
          <w:rFonts w:asciiTheme="majorBidi" w:hAnsiTheme="majorBidi" w:cstheme="majorBidi"/>
          <w:sz w:val="24"/>
          <w:szCs w:val="24"/>
        </w:rPr>
        <w:tab/>
        <w:t>~</w:t>
      </w:r>
      <w:r w:rsidRPr="00F76618">
        <w:rPr>
          <w:rFonts w:asciiTheme="majorBidi" w:hAnsiTheme="majorBidi" w:cstheme="majorBidi"/>
          <w:sz w:val="24"/>
          <w:szCs w:val="24"/>
        </w:rPr>
        <w:tab/>
        <w:t>2019 international dollars</w:t>
      </w:r>
    </w:p>
    <w:p w14:paraId="68F096EB" w14:textId="77777777" w:rsidR="003D42DA" w:rsidRPr="00F76618" w:rsidRDefault="003D42DA" w:rsidP="003D42DA">
      <w:pPr>
        <w:rPr>
          <w:rFonts w:asciiTheme="majorBidi" w:hAnsiTheme="majorBidi" w:cstheme="majorBidi"/>
          <w:sz w:val="24"/>
          <w:szCs w:val="24"/>
        </w:rPr>
      </w:pPr>
    </w:p>
    <w:p w14:paraId="68F096ED" w14:textId="4C2C56F1" w:rsidR="006569FC" w:rsidRPr="00F76618" w:rsidRDefault="001A4F30" w:rsidP="006569FC">
      <w:pPr>
        <w:rPr>
          <w:rFonts w:asciiTheme="majorBidi" w:hAnsiTheme="majorBidi" w:cstheme="majorBidi"/>
          <w:sz w:val="24"/>
          <w:szCs w:val="24"/>
        </w:rPr>
      </w:pPr>
      <w:r w:rsidRPr="001A2657">
        <w:rPr>
          <w:rFonts w:asciiTheme="majorBidi" w:hAnsiTheme="majorBidi" w:cstheme="majorBidi"/>
          <w:b/>
          <w:bCs/>
          <w:sz w:val="24"/>
          <w:szCs w:val="24"/>
        </w:rPr>
        <w:t>Table S.5</w:t>
      </w:r>
      <w:r w:rsidR="006569FC" w:rsidRPr="001A2657">
        <w:rPr>
          <w:rFonts w:asciiTheme="majorBidi" w:hAnsiTheme="majorBidi" w:cstheme="majorBidi"/>
          <w:b/>
          <w:bCs/>
          <w:sz w:val="24"/>
          <w:szCs w:val="24"/>
        </w:rPr>
        <w:t xml:space="preserve">. Input parameters used in the </w:t>
      </w:r>
      <w:proofErr w:type="gramStart"/>
      <w:r w:rsidR="006569FC" w:rsidRPr="001A2657">
        <w:rPr>
          <w:rFonts w:asciiTheme="majorBidi" w:hAnsiTheme="majorBidi" w:cstheme="majorBidi"/>
          <w:b/>
          <w:bCs/>
          <w:sz w:val="24"/>
          <w:szCs w:val="24"/>
        </w:rPr>
        <w:t>model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521"/>
        <w:gridCol w:w="1538"/>
        <w:gridCol w:w="4610"/>
      </w:tblGrid>
      <w:tr w:rsidR="006569FC" w:rsidRPr="00041ECB" w14:paraId="68F096F2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6EE" w14:textId="77777777" w:rsidR="006569FC" w:rsidRPr="00041ECB" w:rsidRDefault="006569FC" w:rsidP="00C73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254" w:type="dxa"/>
            <w:noWrap/>
            <w:hideMark/>
          </w:tcPr>
          <w:p w14:paraId="68F096EF" w14:textId="77777777" w:rsidR="006569FC" w:rsidRPr="00041ECB" w:rsidRDefault="006569FC" w:rsidP="00C73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80" w:type="dxa"/>
            <w:noWrap/>
            <w:hideMark/>
          </w:tcPr>
          <w:p w14:paraId="68F096F0" w14:textId="77777777" w:rsidR="006569FC" w:rsidRPr="00041ECB" w:rsidRDefault="006569FC" w:rsidP="00C73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869" w:type="dxa"/>
            <w:noWrap/>
            <w:hideMark/>
          </w:tcPr>
          <w:p w14:paraId="68F096F1" w14:textId="77777777" w:rsidR="006569FC" w:rsidRPr="00041ECB" w:rsidRDefault="006569FC" w:rsidP="00C73E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6569FC" w:rsidRPr="00041ECB" w14:paraId="68F096F7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6F3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adjustment factor for timber products</w:t>
            </w:r>
          </w:p>
        </w:tc>
        <w:tc>
          <w:tcPr>
            <w:tcW w:w="1254" w:type="dxa"/>
            <w:noWrap/>
            <w:hideMark/>
          </w:tcPr>
          <w:p w14:paraId="68F096F4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9.15 </w:t>
            </w:r>
          </w:p>
        </w:tc>
        <w:tc>
          <w:tcPr>
            <w:tcW w:w="1480" w:type="dxa"/>
            <w:noWrap/>
            <w:hideMark/>
          </w:tcPr>
          <w:p w14:paraId="68F096F5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</w:p>
        </w:tc>
        <w:tc>
          <w:tcPr>
            <w:tcW w:w="4869" w:type="dxa"/>
            <w:noWrap/>
            <w:hideMark/>
          </w:tcPr>
          <w:p w14:paraId="68F096F6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Forestry South Africa (2020)</w:t>
            </w:r>
          </w:p>
        </w:tc>
      </w:tr>
      <w:tr w:rsidR="006569FC" w:rsidRPr="00041ECB" w14:paraId="68F096FC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6F8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</w:p>
        </w:tc>
        <w:tc>
          <w:tcPr>
            <w:tcW w:w="1254" w:type="dxa"/>
            <w:noWrap/>
            <w:hideMark/>
          </w:tcPr>
          <w:p w14:paraId="68F096F9" w14:textId="5FE91D3A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0.3 </w:t>
            </w:r>
          </w:p>
        </w:tc>
        <w:tc>
          <w:tcPr>
            <w:tcW w:w="1480" w:type="dxa"/>
            <w:noWrap/>
            <w:hideMark/>
          </w:tcPr>
          <w:p w14:paraId="68F096FA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6FB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effect of beetle-fungus interactions on PSHB spread [calibration]</w:t>
            </w:r>
          </w:p>
        </w:tc>
      </w:tr>
      <w:tr w:rsidR="006569FC" w:rsidRPr="00041ECB" w14:paraId="68F09701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6FD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annual discount rate</w:t>
            </w:r>
          </w:p>
        </w:tc>
        <w:tc>
          <w:tcPr>
            <w:tcW w:w="1254" w:type="dxa"/>
            <w:noWrap/>
            <w:hideMark/>
          </w:tcPr>
          <w:p w14:paraId="68F096FE" w14:textId="57110981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0.06 </w:t>
            </w:r>
          </w:p>
        </w:tc>
        <w:tc>
          <w:tcPr>
            <w:tcW w:w="1480" w:type="dxa"/>
            <w:noWrap/>
            <w:hideMark/>
          </w:tcPr>
          <w:p w14:paraId="68F096FF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</w:p>
        </w:tc>
        <w:tc>
          <w:tcPr>
            <w:tcW w:w="4869" w:type="dxa"/>
            <w:noWrap/>
            <w:hideMark/>
          </w:tcPr>
          <w:p w14:paraId="68F09700" w14:textId="3A250486" w:rsidR="006569FC" w:rsidRPr="00041ECB" w:rsidRDefault="001A593E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alculation based on </w:t>
            </w:r>
            <w:r w:rsidR="00E714B9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>Van Zyl and De Wit (2013)</w:t>
            </w:r>
            <w:r w:rsidR="00F12BEF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ange: 0.04</w:t>
            </w:r>
            <w:r w:rsidR="00FF5F49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F49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0.08)</w:t>
            </w:r>
          </w:p>
        </w:tc>
      </w:tr>
      <w:tr w:rsidR="006569FC" w:rsidRPr="00041ECB" w14:paraId="68F09706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02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average carbon density</w:t>
            </w:r>
          </w:p>
        </w:tc>
        <w:tc>
          <w:tcPr>
            <w:tcW w:w="1254" w:type="dxa"/>
            <w:noWrap/>
            <w:hideMark/>
          </w:tcPr>
          <w:p w14:paraId="68F09703" w14:textId="4FEEC625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29/12 </w:t>
            </w:r>
          </w:p>
        </w:tc>
        <w:tc>
          <w:tcPr>
            <w:tcW w:w="1480" w:type="dxa"/>
            <w:noWrap/>
            <w:hideMark/>
          </w:tcPr>
          <w:p w14:paraId="68F09704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/hectare </w:t>
            </w:r>
          </w:p>
        </w:tc>
        <w:tc>
          <w:tcPr>
            <w:tcW w:w="4869" w:type="dxa"/>
            <w:noWrap/>
            <w:hideMark/>
          </w:tcPr>
          <w:p w14:paraId="68F09705" w14:textId="60704ADD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Mongab</w:t>
            </w:r>
            <w:r w:rsidR="009D6181" w:rsidRPr="00041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</w:tr>
      <w:tr w:rsidR="006569FC" w:rsidRPr="00041ECB" w14:paraId="68F0970B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07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average weight of tree</w:t>
            </w:r>
          </w:p>
        </w:tc>
        <w:tc>
          <w:tcPr>
            <w:tcW w:w="1254" w:type="dxa"/>
            <w:noWrap/>
            <w:hideMark/>
          </w:tcPr>
          <w:p w14:paraId="68F09708" w14:textId="037C720F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41D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  <w:tc>
          <w:tcPr>
            <w:tcW w:w="1480" w:type="dxa"/>
            <w:noWrap/>
            <w:hideMark/>
          </w:tcPr>
          <w:p w14:paraId="68F09709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kg/tree</w:t>
            </w:r>
          </w:p>
        </w:tc>
        <w:tc>
          <w:tcPr>
            <w:tcW w:w="4869" w:type="dxa"/>
            <w:noWrap/>
            <w:hideMark/>
          </w:tcPr>
          <w:p w14:paraId="68F0970A" w14:textId="207456E6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Jacaranda</w:t>
            </w:r>
            <w:r w:rsidR="001A593E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3E" w:rsidRPr="00041E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ndicative of urban tree</w:t>
            </w:r>
            <w:r w:rsidR="001A593E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99E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 w:fldLock="1"/>
            </w:r>
            <w:r w:rsidR="006A0AE1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ADDIN CSL_CITATION {"citationItems":[{"id":"ITEM-1","itemData":{"author":[{"dropping-particle":"","family":"Stoffberg","given":"Gerrit Hendrik","non-dropping-particle":"","parse-names":false,"suffix":""}],"id":"ITEM-1","issued":{"date-parts":[["2006"]]},"publisher":"University of Pretoria","title":"Growth and carbon sequestration by street trees in the City of Tshwane, South Africa","type":"thesis"},"uris":["http://www.mendeley.com/documents/?uuid=4b1bf022-c2d1-3b87-a87a-71847b991048"]}],"mendeley":{"formattedCitation":"(Stoffberg 2006)","plainTextFormattedCitation":"(Stoffberg 2006)","previouslyFormattedCitation":"(Stoffberg 2006)"},"properties":{"noteIndex":0},"schema":"https://github.com/citation-style-language/schema/raw/master/csl-citation.json"}</w:instrText>
            </w:r>
            <w:r w:rsidR="00F8099E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F8099E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>(Stoffberg 2006)</w:t>
            </w:r>
            <w:r w:rsidR="00F8099E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6569FC" w:rsidRPr="00041ECB" w14:paraId="68F09710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0C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avocado production per tree</w:t>
            </w:r>
          </w:p>
        </w:tc>
        <w:tc>
          <w:tcPr>
            <w:tcW w:w="1254" w:type="dxa"/>
            <w:noWrap/>
            <w:hideMark/>
          </w:tcPr>
          <w:p w14:paraId="68F0970D" w14:textId="2FFCE7E2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0.0272155 </w:t>
            </w:r>
          </w:p>
        </w:tc>
        <w:tc>
          <w:tcPr>
            <w:tcW w:w="1480" w:type="dxa"/>
            <w:noWrap/>
            <w:hideMark/>
          </w:tcPr>
          <w:p w14:paraId="68F0970E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tonne/tree</w:t>
            </w:r>
          </w:p>
        </w:tc>
        <w:tc>
          <w:tcPr>
            <w:tcW w:w="4869" w:type="dxa"/>
            <w:noWrap/>
            <w:hideMark/>
          </w:tcPr>
          <w:p w14:paraId="68F0970F" w14:textId="673E1B84" w:rsidR="006569FC" w:rsidRPr="00041ECB" w:rsidRDefault="00366C8A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65C2" w:rsidRPr="00041E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https://homeguides.sfgate.com/much-avocado-trees-yield-56000.html</w:t>
              </w:r>
            </w:hyperlink>
          </w:p>
        </w:tc>
      </w:tr>
      <w:tr w:rsidR="006569FC" w:rsidRPr="00041ECB" w14:paraId="68F09715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11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254" w:type="dxa"/>
            <w:noWrap/>
            <w:hideMark/>
          </w:tcPr>
          <w:p w14:paraId="68F09712" w14:textId="7107A8D9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0.3 </w:t>
            </w:r>
          </w:p>
        </w:tc>
        <w:tc>
          <w:tcPr>
            <w:tcW w:w="1480" w:type="dxa"/>
            <w:noWrap/>
            <w:hideMark/>
          </w:tcPr>
          <w:p w14:paraId="68F09713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14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effect of beetle-fungus interactions on Fusarium spread [calibration]</w:t>
            </w:r>
          </w:p>
        </w:tc>
      </w:tr>
      <w:tr w:rsidR="006569FC" w:rsidRPr="00041ECB" w14:paraId="68F0971A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16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carrying capacity Fusarium</w:t>
            </w:r>
          </w:p>
        </w:tc>
        <w:tc>
          <w:tcPr>
            <w:tcW w:w="1254" w:type="dxa"/>
            <w:noWrap/>
            <w:hideMark/>
          </w:tcPr>
          <w:p w14:paraId="68F09717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0" w:type="dxa"/>
            <w:noWrap/>
            <w:hideMark/>
          </w:tcPr>
          <w:p w14:paraId="68F09718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</w:p>
        </w:tc>
        <w:tc>
          <w:tcPr>
            <w:tcW w:w="4869" w:type="dxa"/>
            <w:noWrap/>
            <w:hideMark/>
          </w:tcPr>
          <w:p w14:paraId="68F09719" w14:textId="5DDEE689" w:rsidR="006569FC" w:rsidRPr="00041ECB" w:rsidRDefault="00DD437E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aximum=100% of area</w:t>
            </w:r>
          </w:p>
        </w:tc>
      </w:tr>
      <w:tr w:rsidR="006569FC" w:rsidRPr="00041ECB" w14:paraId="68F0971F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1B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carrying capacity PSHB proportion</w:t>
            </w:r>
          </w:p>
        </w:tc>
        <w:tc>
          <w:tcPr>
            <w:tcW w:w="1254" w:type="dxa"/>
            <w:noWrap/>
            <w:hideMark/>
          </w:tcPr>
          <w:p w14:paraId="68F0971C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0" w:type="dxa"/>
            <w:noWrap/>
            <w:hideMark/>
          </w:tcPr>
          <w:p w14:paraId="68F0971D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</w:p>
        </w:tc>
        <w:tc>
          <w:tcPr>
            <w:tcW w:w="4869" w:type="dxa"/>
            <w:noWrap/>
            <w:hideMark/>
          </w:tcPr>
          <w:p w14:paraId="68F0971E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100% of area</w:t>
            </w:r>
          </w:p>
        </w:tc>
      </w:tr>
      <w:tr w:rsidR="006569FC" w:rsidRPr="00041ECB" w14:paraId="68F09724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20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carrying capacity urban trees</w:t>
            </w:r>
          </w:p>
        </w:tc>
        <w:tc>
          <w:tcPr>
            <w:tcW w:w="1254" w:type="dxa"/>
            <w:noWrap/>
            <w:hideMark/>
          </w:tcPr>
          <w:p w14:paraId="68F09721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2.55e+008 </w:t>
            </w:r>
          </w:p>
        </w:tc>
        <w:tc>
          <w:tcPr>
            <w:tcW w:w="1480" w:type="dxa"/>
            <w:noWrap/>
            <w:hideMark/>
          </w:tcPr>
          <w:p w14:paraId="68F09722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4869" w:type="dxa"/>
            <w:noWrap/>
            <w:hideMark/>
          </w:tcPr>
          <w:p w14:paraId="68F09723" w14:textId="7FC17CE6" w:rsidR="006569FC" w:rsidRPr="00041ECB" w:rsidRDefault="00DD437E" w:rsidP="0097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alculation [see </w:t>
            </w:r>
            <w:r w:rsidR="00971A4A" w:rsidRPr="00041ECB">
              <w:rPr>
                <w:rFonts w:ascii="Times New Roman" w:hAnsi="Times New Roman" w:cs="Times New Roman"/>
                <w:sz w:val="24"/>
                <w:szCs w:val="24"/>
              </w:rPr>
              <w:t>Table S.4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569FC" w:rsidRPr="00041ECB" w14:paraId="68F09729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25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factor for other values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forests</w:t>
            </w:r>
          </w:p>
        </w:tc>
        <w:tc>
          <w:tcPr>
            <w:tcW w:w="1254" w:type="dxa"/>
            <w:noWrap/>
            <w:hideMark/>
          </w:tcPr>
          <w:p w14:paraId="68F09726" w14:textId="7B8A8368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6.75 </w:t>
            </w:r>
          </w:p>
        </w:tc>
        <w:tc>
          <w:tcPr>
            <w:tcW w:w="1480" w:type="dxa"/>
            <w:noWrap/>
            <w:hideMark/>
          </w:tcPr>
          <w:p w14:paraId="68F09727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  <w:noWrap/>
            <w:hideMark/>
          </w:tcPr>
          <w:p w14:paraId="68F09728" w14:textId="255C1432" w:rsidR="006569FC" w:rsidRPr="00041ECB" w:rsidRDefault="00E714B9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Turpie et al. </w:t>
            </w:r>
            <w:r w:rsidR="003C1117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>2017)</w:t>
            </w:r>
          </w:p>
        </w:tc>
      </w:tr>
      <w:tr w:rsidR="006569FC" w:rsidRPr="00041ECB" w14:paraId="68F0972E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2A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Fusarium mortality rate avocados</w:t>
            </w:r>
          </w:p>
        </w:tc>
        <w:tc>
          <w:tcPr>
            <w:tcW w:w="1254" w:type="dxa"/>
            <w:noWrap/>
            <w:hideMark/>
          </w:tcPr>
          <w:p w14:paraId="68F0972B" w14:textId="767AF965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1480" w:type="dxa"/>
            <w:noWrap/>
            <w:hideMark/>
          </w:tcPr>
          <w:p w14:paraId="68F0972C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2D" w14:textId="521D0B2D" w:rsidR="006569FC" w:rsidRPr="00041ECB" w:rsidRDefault="00DD437E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>alibrated to achieve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25% decrease in avocado tre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>es over 10 years</w:t>
            </w:r>
          </w:p>
        </w:tc>
      </w:tr>
      <w:tr w:rsidR="006569FC" w:rsidRPr="00041ECB" w14:paraId="68F09733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2F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Fusarium mortality rate primary forests</w:t>
            </w:r>
          </w:p>
        </w:tc>
        <w:tc>
          <w:tcPr>
            <w:tcW w:w="1254" w:type="dxa"/>
            <w:noWrap/>
            <w:hideMark/>
          </w:tcPr>
          <w:p w14:paraId="68F09730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0.0065 </w:t>
            </w:r>
          </w:p>
        </w:tc>
        <w:tc>
          <w:tcPr>
            <w:tcW w:w="1480" w:type="dxa"/>
            <w:noWrap/>
            <w:hideMark/>
          </w:tcPr>
          <w:p w14:paraId="68F09731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32" w14:textId="219F020B" w:rsidR="006569FC" w:rsidRPr="00041ECB" w:rsidRDefault="00DD437E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alibrated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to ge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>nerate a 5% decline over 10 years</w:t>
            </w:r>
          </w:p>
        </w:tc>
      </w:tr>
      <w:tr w:rsidR="006569FC" w:rsidRPr="00041ECB" w14:paraId="68F09738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34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Fusarium mortality rate urban trees</w:t>
            </w:r>
          </w:p>
        </w:tc>
        <w:tc>
          <w:tcPr>
            <w:tcW w:w="1254" w:type="dxa"/>
            <w:noWrap/>
            <w:hideMark/>
          </w:tcPr>
          <w:p w14:paraId="68F09735" w14:textId="45F369D1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0.0378 </w:t>
            </w:r>
          </w:p>
        </w:tc>
        <w:tc>
          <w:tcPr>
            <w:tcW w:w="1480" w:type="dxa"/>
            <w:noWrap/>
            <w:hideMark/>
          </w:tcPr>
          <w:p w14:paraId="68F09736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37" w14:textId="7CDA87F0" w:rsidR="006569FC" w:rsidRPr="00041ECB" w:rsidRDefault="00DD437E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>alibrated to achieve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25% decrease in urban tre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>es over 10 years</w:t>
            </w:r>
          </w:p>
        </w:tc>
      </w:tr>
      <w:tr w:rsidR="006569FC" w:rsidRPr="00041ECB" w14:paraId="68F0973D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39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Fusarium mortality rate wattle</w:t>
            </w:r>
          </w:p>
        </w:tc>
        <w:tc>
          <w:tcPr>
            <w:tcW w:w="1254" w:type="dxa"/>
            <w:noWrap/>
            <w:hideMark/>
          </w:tcPr>
          <w:p w14:paraId="68F0973A" w14:textId="7ECB692A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0.008 </w:t>
            </w:r>
          </w:p>
        </w:tc>
        <w:tc>
          <w:tcPr>
            <w:tcW w:w="1480" w:type="dxa"/>
            <w:noWrap/>
            <w:hideMark/>
          </w:tcPr>
          <w:p w14:paraId="68F0973B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3C" w14:textId="1240876D" w:rsidR="006569FC" w:rsidRPr="00041ECB" w:rsidRDefault="00DD437E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aseline calibrated to achieve a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5% decrease wattle tree</w:t>
            </w:r>
            <w:r w:rsidR="001C33DB" w:rsidRPr="00041ECB">
              <w:rPr>
                <w:rFonts w:ascii="Times New Roman" w:hAnsi="Times New Roman" w:cs="Times New Roman"/>
                <w:sz w:val="24"/>
                <w:szCs w:val="24"/>
              </w:rPr>
              <w:t>s over 10 years</w:t>
            </w:r>
          </w:p>
        </w:tc>
      </w:tr>
      <w:tr w:rsidR="006569FC" w:rsidRPr="00041ECB" w14:paraId="68F09742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3E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growth rate avocados</w:t>
            </w:r>
          </w:p>
        </w:tc>
        <w:tc>
          <w:tcPr>
            <w:tcW w:w="1254" w:type="dxa"/>
            <w:noWrap/>
            <w:hideMark/>
          </w:tcPr>
          <w:p w14:paraId="68F0973F" w14:textId="5EBD5E74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0.002 </w:t>
            </w:r>
          </w:p>
        </w:tc>
        <w:tc>
          <w:tcPr>
            <w:tcW w:w="1480" w:type="dxa"/>
            <w:noWrap/>
            <w:hideMark/>
          </w:tcPr>
          <w:p w14:paraId="68F09740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41" w14:textId="7D9610FF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average monthly growth rate in number of trees based on historical trends in DAFF (2020)</w:t>
            </w:r>
          </w:p>
        </w:tc>
      </w:tr>
      <w:tr w:rsidR="006569FC" w:rsidRPr="00041ECB" w14:paraId="68F09747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43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growth rate Fusarium</w:t>
            </w:r>
          </w:p>
        </w:tc>
        <w:tc>
          <w:tcPr>
            <w:tcW w:w="1254" w:type="dxa"/>
            <w:noWrap/>
            <w:hideMark/>
          </w:tcPr>
          <w:p w14:paraId="68F09744" w14:textId="45374AFA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0.025 </w:t>
            </w:r>
          </w:p>
        </w:tc>
        <w:tc>
          <w:tcPr>
            <w:tcW w:w="1480" w:type="dxa"/>
            <w:noWrap/>
            <w:hideMark/>
          </w:tcPr>
          <w:p w14:paraId="68F09745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46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calibrated to match expectation of future trends in PSHB spread</w:t>
            </w:r>
          </w:p>
        </w:tc>
      </w:tr>
      <w:tr w:rsidR="006569FC" w:rsidRPr="00041ECB" w14:paraId="68F0974C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48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growth rate natural forests</w:t>
            </w:r>
          </w:p>
        </w:tc>
        <w:tc>
          <w:tcPr>
            <w:tcW w:w="1254" w:type="dxa"/>
            <w:noWrap/>
            <w:hideMark/>
          </w:tcPr>
          <w:p w14:paraId="68F09749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80" w:type="dxa"/>
            <w:noWrap/>
            <w:hideMark/>
          </w:tcPr>
          <w:p w14:paraId="68F0974A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4B" w14:textId="5924DED9" w:rsidR="006569FC" w:rsidRPr="00041ECB" w:rsidRDefault="00F8638A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ssumption</w:t>
            </w:r>
          </w:p>
        </w:tc>
      </w:tr>
      <w:tr w:rsidR="006569FC" w:rsidRPr="00041ECB" w14:paraId="68F09751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4D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growth rate price avocados</w:t>
            </w:r>
          </w:p>
        </w:tc>
        <w:tc>
          <w:tcPr>
            <w:tcW w:w="1254" w:type="dxa"/>
            <w:noWrap/>
            <w:hideMark/>
          </w:tcPr>
          <w:p w14:paraId="68F0974E" w14:textId="26EF6323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0.003 </w:t>
            </w:r>
          </w:p>
        </w:tc>
        <w:tc>
          <w:tcPr>
            <w:tcW w:w="1480" w:type="dxa"/>
            <w:noWrap/>
            <w:hideMark/>
          </w:tcPr>
          <w:p w14:paraId="68F0974F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50" w14:textId="0116F90E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average real monthly growth rate based on historical trends in DAFF (2020)</w:t>
            </w:r>
          </w:p>
        </w:tc>
      </w:tr>
      <w:tr w:rsidR="006569FC" w:rsidRPr="00041ECB" w14:paraId="68F09756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52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growth rate price wattle</w:t>
            </w:r>
          </w:p>
        </w:tc>
        <w:tc>
          <w:tcPr>
            <w:tcW w:w="1254" w:type="dxa"/>
            <w:noWrap/>
            <w:hideMark/>
          </w:tcPr>
          <w:p w14:paraId="68F09753" w14:textId="622206A9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0.003 </w:t>
            </w:r>
          </w:p>
        </w:tc>
        <w:tc>
          <w:tcPr>
            <w:tcW w:w="1480" w:type="dxa"/>
            <w:noWrap/>
            <w:hideMark/>
          </w:tcPr>
          <w:p w14:paraId="68F09754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55" w14:textId="695D4FA5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average real monthly growth rate based on historical trends in DAFF (2020)</w:t>
            </w:r>
          </w:p>
        </w:tc>
      </w:tr>
      <w:tr w:rsidR="006569FC" w:rsidRPr="00041ECB" w14:paraId="68F0975B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57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growth rate PSHB</w:t>
            </w:r>
          </w:p>
        </w:tc>
        <w:tc>
          <w:tcPr>
            <w:tcW w:w="1254" w:type="dxa"/>
            <w:noWrap/>
            <w:hideMark/>
          </w:tcPr>
          <w:p w14:paraId="68F09758" w14:textId="5A0B02EE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0.08 </w:t>
            </w:r>
          </w:p>
        </w:tc>
        <w:tc>
          <w:tcPr>
            <w:tcW w:w="1480" w:type="dxa"/>
            <w:noWrap/>
            <w:hideMark/>
          </w:tcPr>
          <w:p w14:paraId="68F09759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5A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calibrated to match expectation of future trends in PSHB spread </w:t>
            </w:r>
          </w:p>
        </w:tc>
      </w:tr>
      <w:tr w:rsidR="006569FC" w:rsidRPr="00041ECB" w14:paraId="68F09760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5C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growth rate wattle</w:t>
            </w:r>
          </w:p>
        </w:tc>
        <w:tc>
          <w:tcPr>
            <w:tcW w:w="1254" w:type="dxa"/>
            <w:noWrap/>
            <w:hideMark/>
          </w:tcPr>
          <w:p w14:paraId="68F0975D" w14:textId="439DD9D8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0.0002 </w:t>
            </w:r>
          </w:p>
        </w:tc>
        <w:tc>
          <w:tcPr>
            <w:tcW w:w="1480" w:type="dxa"/>
            <w:noWrap/>
            <w:hideMark/>
          </w:tcPr>
          <w:p w14:paraId="68F0975E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5F" w14:textId="3BC56AAC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average monthly growth rate </w:t>
            </w:r>
            <w:r w:rsidR="00DD437E" w:rsidRPr="00041E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n number of trees based on historical trends </w:t>
            </w:r>
            <w:r w:rsidR="00CB3100" w:rsidRPr="00041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DAFF</w:t>
            </w:r>
            <w:r w:rsidR="00CB3100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2020)</w:t>
            </w:r>
            <w:r w:rsidR="00CB3100" w:rsidRPr="0004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9FC" w:rsidRPr="00041ECB" w14:paraId="68F09765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61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initial area primary forest</w:t>
            </w:r>
          </w:p>
        </w:tc>
        <w:tc>
          <w:tcPr>
            <w:tcW w:w="1254" w:type="dxa"/>
            <w:noWrap/>
            <w:hideMark/>
          </w:tcPr>
          <w:p w14:paraId="68F09762" w14:textId="11E6D19F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FF5F49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480" w:type="dxa"/>
            <w:noWrap/>
            <w:hideMark/>
          </w:tcPr>
          <w:p w14:paraId="68F09763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hectare </w:t>
            </w:r>
          </w:p>
        </w:tc>
        <w:tc>
          <w:tcPr>
            <w:tcW w:w="4869" w:type="dxa"/>
            <w:noWrap/>
            <w:hideMark/>
          </w:tcPr>
          <w:p w14:paraId="68F09764" w14:textId="45BD92E8" w:rsidR="006569FC" w:rsidRPr="00041ECB" w:rsidRDefault="005939E6" w:rsidP="0059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Mongab</w:t>
            </w:r>
            <w:r w:rsidR="009D6181" w:rsidRPr="00041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</w:tr>
      <w:tr w:rsidR="006569FC" w:rsidRPr="00041ECB" w14:paraId="68F0976A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66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initial no of trees infested</w:t>
            </w:r>
          </w:p>
        </w:tc>
        <w:tc>
          <w:tcPr>
            <w:tcW w:w="1254" w:type="dxa"/>
            <w:noWrap/>
            <w:hideMark/>
          </w:tcPr>
          <w:p w14:paraId="68F09767" w14:textId="19B1B804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F49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480" w:type="dxa"/>
            <w:noWrap/>
            <w:hideMark/>
          </w:tcPr>
          <w:p w14:paraId="68F09768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tree </w:t>
            </w:r>
          </w:p>
        </w:tc>
        <w:tc>
          <w:tcPr>
            <w:tcW w:w="4869" w:type="dxa"/>
            <w:noWrap/>
            <w:hideMark/>
          </w:tcPr>
          <w:p w14:paraId="68F09769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no of trees infested (assumption)</w:t>
            </w:r>
          </w:p>
        </w:tc>
      </w:tr>
      <w:tr w:rsidR="006569FC" w:rsidRPr="00041ECB" w14:paraId="68F0976F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6B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initial number of avocado trees</w:t>
            </w:r>
          </w:p>
        </w:tc>
        <w:tc>
          <w:tcPr>
            <w:tcW w:w="1254" w:type="dxa"/>
            <w:noWrap/>
            <w:hideMark/>
          </w:tcPr>
          <w:p w14:paraId="68F0976C" w14:textId="279A6C1D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FF5F49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686 </w:t>
            </w:r>
          </w:p>
        </w:tc>
        <w:tc>
          <w:tcPr>
            <w:tcW w:w="1480" w:type="dxa"/>
            <w:noWrap/>
            <w:hideMark/>
          </w:tcPr>
          <w:p w14:paraId="68F0976D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4869" w:type="dxa"/>
            <w:noWrap/>
            <w:hideMark/>
          </w:tcPr>
          <w:p w14:paraId="68F0976E" w14:textId="74463A36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forecasted monthly production June 2020 </w:t>
            </w:r>
            <w:r w:rsidR="00981A27" w:rsidRPr="00041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based on DAFF 2020</w:t>
            </w:r>
            <w:r w:rsidR="00981A27" w:rsidRPr="00041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divided by avocado production per tree]</w:t>
            </w:r>
          </w:p>
        </w:tc>
      </w:tr>
      <w:tr w:rsidR="006569FC" w:rsidRPr="00041ECB" w14:paraId="68F09774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70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Initial number of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trees wattle bark</w:t>
            </w:r>
          </w:p>
        </w:tc>
        <w:tc>
          <w:tcPr>
            <w:tcW w:w="1254" w:type="dxa"/>
            <w:noWrap/>
            <w:hideMark/>
          </w:tcPr>
          <w:p w14:paraId="68F09771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2.73304e+006 </w:t>
            </w:r>
          </w:p>
        </w:tc>
        <w:tc>
          <w:tcPr>
            <w:tcW w:w="1480" w:type="dxa"/>
            <w:noWrap/>
            <w:hideMark/>
          </w:tcPr>
          <w:p w14:paraId="68F09772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4869" w:type="dxa"/>
            <w:noWrap/>
            <w:hideMark/>
          </w:tcPr>
          <w:p w14:paraId="68F09773" w14:textId="3183AE82" w:rsidR="006569FC" w:rsidRPr="00041ECB" w:rsidRDefault="00F8638A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alculat</w:t>
            </w:r>
            <w:r w:rsidR="00D3430D" w:rsidRPr="00041ECB">
              <w:rPr>
                <w:rFonts w:ascii="Times New Roman" w:hAnsi="Times New Roman" w:cs="Times New Roman"/>
                <w:sz w:val="24"/>
                <w:szCs w:val="24"/>
              </w:rPr>
              <w:t>ion*</w:t>
            </w:r>
          </w:p>
        </w:tc>
      </w:tr>
      <w:tr w:rsidR="006569FC" w:rsidRPr="00041ECB" w14:paraId="68F09779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75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net growth primary forest no dieback</w:t>
            </w:r>
          </w:p>
        </w:tc>
        <w:tc>
          <w:tcPr>
            <w:tcW w:w="1254" w:type="dxa"/>
            <w:noWrap/>
            <w:hideMark/>
          </w:tcPr>
          <w:p w14:paraId="68F09776" w14:textId="60286978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80" w:type="dxa"/>
            <w:noWrap/>
            <w:hideMark/>
          </w:tcPr>
          <w:p w14:paraId="68F09777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hectare/Month </w:t>
            </w:r>
          </w:p>
        </w:tc>
        <w:tc>
          <w:tcPr>
            <w:tcW w:w="4869" w:type="dxa"/>
            <w:noWrap/>
            <w:hideMark/>
          </w:tcPr>
          <w:p w14:paraId="68F09778" w14:textId="227D8E01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Mongab</w:t>
            </w:r>
            <w:r w:rsidR="009D6181" w:rsidRPr="00041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</w:tc>
      </w:tr>
      <w:tr w:rsidR="006569FC" w:rsidRPr="00041ECB" w14:paraId="68F0977E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7A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number of PSHB per kilogram host</w:t>
            </w:r>
          </w:p>
        </w:tc>
        <w:tc>
          <w:tcPr>
            <w:tcW w:w="1254" w:type="dxa"/>
            <w:noWrap/>
            <w:hideMark/>
          </w:tcPr>
          <w:p w14:paraId="68F0977B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80" w:type="dxa"/>
            <w:noWrap/>
            <w:hideMark/>
          </w:tcPr>
          <w:p w14:paraId="68F0977C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number/kg</w:t>
            </w:r>
          </w:p>
        </w:tc>
        <w:tc>
          <w:tcPr>
            <w:tcW w:w="4869" w:type="dxa"/>
            <w:noWrap/>
            <w:hideMark/>
          </w:tcPr>
          <w:p w14:paraId="68F0977D" w14:textId="3D411135" w:rsidR="006569FC" w:rsidRPr="00041ECB" w:rsidRDefault="00201195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Jones and Paine </w:t>
            </w:r>
            <w:r w:rsidR="00281260"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>2015)</w:t>
            </w:r>
          </w:p>
        </w:tc>
      </w:tr>
      <w:tr w:rsidR="006569FC" w:rsidRPr="00041ECB" w14:paraId="68F09783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7F" w14:textId="000EB62B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7778C4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which?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trees per hectare</w:t>
            </w:r>
          </w:p>
        </w:tc>
        <w:tc>
          <w:tcPr>
            <w:tcW w:w="1254" w:type="dxa"/>
            <w:noWrap/>
            <w:hideMark/>
          </w:tcPr>
          <w:p w14:paraId="68F09780" w14:textId="2E88BC7C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F49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480" w:type="dxa"/>
            <w:noWrap/>
            <w:hideMark/>
          </w:tcPr>
          <w:p w14:paraId="68F09781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tree/hectare </w:t>
            </w:r>
          </w:p>
        </w:tc>
        <w:tc>
          <w:tcPr>
            <w:tcW w:w="4869" w:type="dxa"/>
            <w:noWrap/>
            <w:hideMark/>
          </w:tcPr>
          <w:p w14:paraId="68F09782" w14:textId="2FA9D649" w:rsidR="006569FC" w:rsidRPr="00041ECB" w:rsidRDefault="00F8638A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ssumed the same as for wattle</w:t>
            </w:r>
          </w:p>
        </w:tc>
      </w:tr>
      <w:tr w:rsidR="006569FC" w:rsidRPr="00041ECB" w14:paraId="68F09788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84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physical clearing cost</w:t>
            </w:r>
          </w:p>
        </w:tc>
        <w:tc>
          <w:tcPr>
            <w:tcW w:w="1254" w:type="dxa"/>
            <w:noWrap/>
            <w:hideMark/>
          </w:tcPr>
          <w:p w14:paraId="68F09785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656.55 </w:t>
            </w:r>
          </w:p>
        </w:tc>
        <w:tc>
          <w:tcPr>
            <w:tcW w:w="1480" w:type="dxa"/>
            <w:noWrap/>
            <w:hideMark/>
          </w:tcPr>
          <w:p w14:paraId="68F09786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Dollar/tree </w:t>
            </w:r>
          </w:p>
        </w:tc>
        <w:tc>
          <w:tcPr>
            <w:tcW w:w="4869" w:type="dxa"/>
            <w:noWrap/>
            <w:hideMark/>
          </w:tcPr>
          <w:p w14:paraId="68F09787" w14:textId="12B68CC0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R7000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17.68/1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Int.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$ 656.55 (2019). Range:  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Int.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$281.38 - 3282.76 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tree)</w:t>
            </w:r>
          </w:p>
        </w:tc>
      </w:tr>
      <w:tr w:rsidR="006569FC" w:rsidRPr="00041ECB" w14:paraId="68F0978D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89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production bark per hectare</w:t>
            </w:r>
          </w:p>
        </w:tc>
        <w:tc>
          <w:tcPr>
            <w:tcW w:w="1254" w:type="dxa"/>
            <w:noWrap/>
            <w:hideMark/>
          </w:tcPr>
          <w:p w14:paraId="68F0978A" w14:textId="62F88413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80" w:type="dxa"/>
            <w:noWrap/>
            <w:hideMark/>
          </w:tcPr>
          <w:p w14:paraId="68F0978B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tonne/hectare </w:t>
            </w:r>
          </w:p>
        </w:tc>
        <w:tc>
          <w:tcPr>
            <w:tcW w:w="4869" w:type="dxa"/>
            <w:noWrap/>
            <w:hideMark/>
          </w:tcPr>
          <w:p w14:paraId="68F0978C" w14:textId="480737FD" w:rsidR="006569FC" w:rsidRPr="00041ECB" w:rsidRDefault="00281260" w:rsidP="00E9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verage production of 18 tons wattle bark per hectare and 3 tonnes bark makes 1 tonne saleable product</w:t>
            </w:r>
            <w:r w:rsidR="00E9751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(SA Forestry Online, 2009)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. So average production is 6 tonnes of saleable product per hectare</w:t>
            </w:r>
          </w:p>
        </w:tc>
      </w:tr>
      <w:tr w:rsidR="006569FC" w:rsidRPr="00041ECB" w14:paraId="68F09792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8E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proportion of total production</w:t>
            </w:r>
          </w:p>
        </w:tc>
        <w:tc>
          <w:tcPr>
            <w:tcW w:w="1254" w:type="dxa"/>
            <w:noWrap/>
            <w:hideMark/>
          </w:tcPr>
          <w:p w14:paraId="68F0978F" w14:textId="53D93BAD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</w:p>
        </w:tc>
        <w:tc>
          <w:tcPr>
            <w:tcW w:w="1480" w:type="dxa"/>
            <w:noWrap/>
            <w:hideMark/>
          </w:tcPr>
          <w:p w14:paraId="68F09790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  <w:noWrap/>
            <w:hideMark/>
          </w:tcPr>
          <w:p w14:paraId="68F09791" w14:textId="21B590EE" w:rsidR="006569FC" w:rsidRPr="00041ECB" w:rsidRDefault="00744F11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Garret (2016)</w:t>
            </w:r>
          </w:p>
        </w:tc>
      </w:tr>
      <w:tr w:rsidR="006569FC" w:rsidRPr="00041ECB" w14:paraId="68F09797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93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ratio Fusarium mortality to PSHB mortality</w:t>
            </w:r>
          </w:p>
        </w:tc>
        <w:tc>
          <w:tcPr>
            <w:tcW w:w="1254" w:type="dxa"/>
            <w:noWrap/>
            <w:hideMark/>
          </w:tcPr>
          <w:p w14:paraId="68F09794" w14:textId="2F1ED2FA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0" w:type="dxa"/>
            <w:noWrap/>
            <w:hideMark/>
          </w:tcPr>
          <w:p w14:paraId="68F09795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</w:p>
        </w:tc>
        <w:tc>
          <w:tcPr>
            <w:tcW w:w="4869" w:type="dxa"/>
            <w:noWrap/>
            <w:hideMark/>
          </w:tcPr>
          <w:p w14:paraId="68F09796" w14:textId="7F59BDF8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assumption 1:1 ratio</w:t>
            </w:r>
          </w:p>
        </w:tc>
      </w:tr>
      <w:tr w:rsidR="006569FC" w:rsidRPr="00041ECB" w14:paraId="68F0979C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98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ratio maximum to initial wattle</w:t>
            </w:r>
          </w:p>
        </w:tc>
        <w:tc>
          <w:tcPr>
            <w:tcW w:w="1254" w:type="dxa"/>
            <w:noWrap/>
            <w:hideMark/>
          </w:tcPr>
          <w:p w14:paraId="68F09799" w14:textId="23168045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480" w:type="dxa"/>
            <w:noWrap/>
            <w:hideMark/>
          </w:tcPr>
          <w:p w14:paraId="68F0979A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Dmnl</w:t>
            </w:r>
            <w:proofErr w:type="spellEnd"/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  <w:noWrap/>
            <w:hideMark/>
          </w:tcPr>
          <w:p w14:paraId="68F0979B" w14:textId="6DA279A2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1973 value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000 hectares. 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0570A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values =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around 110</w:t>
            </w:r>
            <w:r w:rsidR="00DF0028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000 hectares</w:t>
            </w:r>
          </w:p>
        </w:tc>
      </w:tr>
      <w:tr w:rsidR="006569FC" w:rsidRPr="00041ECB" w14:paraId="68F097A1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9D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unit carbon value</w:t>
            </w:r>
          </w:p>
        </w:tc>
        <w:tc>
          <w:tcPr>
            <w:tcW w:w="1254" w:type="dxa"/>
            <w:noWrap/>
            <w:hideMark/>
          </w:tcPr>
          <w:p w14:paraId="68F0979E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480" w:type="dxa"/>
            <w:noWrap/>
            <w:hideMark/>
          </w:tcPr>
          <w:p w14:paraId="68F0979F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Dollar/tonne </w:t>
            </w:r>
          </w:p>
        </w:tc>
        <w:tc>
          <w:tcPr>
            <w:tcW w:w="4869" w:type="dxa"/>
            <w:noWrap/>
            <w:hideMark/>
          </w:tcPr>
          <w:p w14:paraId="68F097A0" w14:textId="1A9A8485" w:rsidR="006569FC" w:rsidRPr="00041ECB" w:rsidRDefault="00133274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noProof/>
                <w:sz w:val="24"/>
                <w:szCs w:val="24"/>
              </w:rPr>
              <w:t>Crookes (2012)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, converted to 2019 Int</w:t>
            </w:r>
            <w:r w:rsidR="001B6AFA" w:rsidRPr="00041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0A" w:rsidRPr="00041EC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6569FC" w:rsidRPr="00041ECB" w14:paraId="68F097A6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A2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urban tree growth rate</w:t>
            </w:r>
          </w:p>
        </w:tc>
        <w:tc>
          <w:tcPr>
            <w:tcW w:w="1254" w:type="dxa"/>
            <w:noWrap/>
            <w:hideMark/>
          </w:tcPr>
          <w:p w14:paraId="68F097A3" w14:textId="7D26B60F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480" w:type="dxa"/>
            <w:noWrap/>
            <w:hideMark/>
          </w:tcPr>
          <w:p w14:paraId="68F097A4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1/Month</w:t>
            </w:r>
          </w:p>
        </w:tc>
        <w:tc>
          <w:tcPr>
            <w:tcW w:w="4869" w:type="dxa"/>
            <w:noWrap/>
            <w:hideMark/>
          </w:tcPr>
          <w:p w14:paraId="68F097A5" w14:textId="4A1EFCBB" w:rsidR="006569FC" w:rsidRPr="00041ECB" w:rsidRDefault="00F8638A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>ssumption</w:t>
            </w:r>
          </w:p>
        </w:tc>
      </w:tr>
      <w:tr w:rsidR="006569FC" w:rsidRPr="00041ECB" w14:paraId="68F097AB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A7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urban trees no dieback</w:t>
            </w:r>
          </w:p>
        </w:tc>
        <w:tc>
          <w:tcPr>
            <w:tcW w:w="1254" w:type="dxa"/>
            <w:noWrap/>
            <w:hideMark/>
          </w:tcPr>
          <w:p w14:paraId="68F097A8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2.55e+008 </w:t>
            </w:r>
          </w:p>
        </w:tc>
        <w:tc>
          <w:tcPr>
            <w:tcW w:w="1480" w:type="dxa"/>
            <w:noWrap/>
            <w:hideMark/>
          </w:tcPr>
          <w:p w14:paraId="68F097A9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</w:p>
        </w:tc>
        <w:tc>
          <w:tcPr>
            <w:tcW w:w="4869" w:type="dxa"/>
            <w:noWrap/>
            <w:hideMark/>
          </w:tcPr>
          <w:p w14:paraId="68F097AA" w14:textId="11FF2DF6" w:rsidR="006569FC" w:rsidRPr="00041ECB" w:rsidRDefault="00281260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alculation </w:t>
            </w:r>
            <w:r w:rsidR="00926776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see Supplementary </w:t>
            </w:r>
            <w:r w:rsidR="00926776" w:rsidRPr="00041E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aterial </w:t>
            </w:r>
            <w:r w:rsidR="008E1A69" w:rsidRPr="00041ECB">
              <w:rPr>
                <w:rFonts w:ascii="Times New Roman" w:hAnsi="Times New Roman" w:cs="Times New Roman"/>
                <w:sz w:val="24"/>
                <w:szCs w:val="24"/>
              </w:rPr>
              <w:t>Table S.4</w:t>
            </w:r>
          </w:p>
        </w:tc>
      </w:tr>
      <w:tr w:rsidR="006569FC" w:rsidRPr="00041ECB" w14:paraId="68F097B0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AC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Value of urban trees</w:t>
            </w:r>
          </w:p>
        </w:tc>
        <w:tc>
          <w:tcPr>
            <w:tcW w:w="1254" w:type="dxa"/>
            <w:noWrap/>
            <w:hideMark/>
          </w:tcPr>
          <w:p w14:paraId="68F097AD" w14:textId="7F7A7A5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25.07 </w:t>
            </w:r>
          </w:p>
        </w:tc>
        <w:tc>
          <w:tcPr>
            <w:tcW w:w="1480" w:type="dxa"/>
            <w:noWrap/>
            <w:hideMark/>
          </w:tcPr>
          <w:p w14:paraId="68F097AE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Dollar/tree </w:t>
            </w:r>
          </w:p>
        </w:tc>
        <w:tc>
          <w:tcPr>
            <w:tcW w:w="4869" w:type="dxa"/>
            <w:noWrap/>
            <w:hideMark/>
          </w:tcPr>
          <w:p w14:paraId="6A1018A0" w14:textId="5C17E040" w:rsidR="00C604A4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2019 values: R87.66 - R469.57 ($8.22 - $44.04 / tree). </w:t>
            </w:r>
          </w:p>
          <w:p w14:paraId="68F097AF" w14:textId="4F963B9E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C604A4" w:rsidRPr="00041ECB">
              <w:rPr>
                <w:rFonts w:ascii="Times New Roman" w:hAnsi="Times New Roman" w:cs="Times New Roman"/>
                <w:sz w:val="24"/>
                <w:szCs w:val="24"/>
              </w:rPr>
              <w:t>. $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: R14.5</w:t>
            </w:r>
            <w:r w:rsidR="00DB0417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0417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$ (PPP adjustment) R267.24</w:t>
            </w:r>
            <w:r w:rsidR="0095620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620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95620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5620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17.68</w:t>
            </w:r>
            <w:r w:rsidR="0095620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620B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13 = Int $ 25.07</w:t>
            </w:r>
          </w:p>
        </w:tc>
      </w:tr>
      <w:tr w:rsidR="006569FC" w:rsidRPr="00041ECB" w14:paraId="68F097B5" w14:textId="77777777" w:rsidTr="00041ECB">
        <w:trPr>
          <w:trHeight w:val="300"/>
        </w:trPr>
        <w:tc>
          <w:tcPr>
            <w:tcW w:w="1413" w:type="dxa"/>
            <w:noWrap/>
            <w:hideMark/>
          </w:tcPr>
          <w:p w14:paraId="68F097B1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wattle trees planted per hectare</w:t>
            </w:r>
          </w:p>
        </w:tc>
        <w:tc>
          <w:tcPr>
            <w:tcW w:w="1254" w:type="dxa"/>
            <w:noWrap/>
            <w:hideMark/>
          </w:tcPr>
          <w:p w14:paraId="68F097B2" w14:textId="6C4B45BC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AFA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480" w:type="dxa"/>
            <w:noWrap/>
            <w:hideMark/>
          </w:tcPr>
          <w:p w14:paraId="68F097B3" w14:textId="77777777" w:rsidR="006569FC" w:rsidRPr="00041ECB" w:rsidRDefault="006569FC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tree/hectare</w:t>
            </w:r>
          </w:p>
        </w:tc>
        <w:tc>
          <w:tcPr>
            <w:tcW w:w="4869" w:type="dxa"/>
            <w:noWrap/>
            <w:hideMark/>
          </w:tcPr>
          <w:p w14:paraId="68F097B4" w14:textId="0F306A90" w:rsidR="006569FC" w:rsidRPr="00041ECB" w:rsidRDefault="003C1117" w:rsidP="00C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69FC" w:rsidRPr="00041ECB">
              <w:rPr>
                <w:rFonts w:ascii="Times New Roman" w:hAnsi="Times New Roman" w:cs="Times New Roman"/>
                <w:sz w:val="24"/>
                <w:szCs w:val="24"/>
              </w:rPr>
              <w:t xml:space="preserve">alculation </w:t>
            </w:r>
            <w:r w:rsidR="009465C2" w:rsidRPr="00041E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0E4D" w:rsidRPr="00041E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465C2" w:rsidRPr="00041ECB">
              <w:rPr>
                <w:rFonts w:ascii="Times New Roman" w:hAnsi="Times New Roman" w:cs="Times New Roman"/>
                <w:sz w:val="24"/>
                <w:szCs w:val="24"/>
              </w:rPr>
              <w:t>ote 1)</w:t>
            </w:r>
          </w:p>
        </w:tc>
      </w:tr>
    </w:tbl>
    <w:p w14:paraId="68F097B7" w14:textId="57EA602C" w:rsidR="006569FC" w:rsidRPr="00CA50A4" w:rsidRDefault="00CB3100" w:rsidP="003D42DA">
      <w:pPr>
        <w:rPr>
          <w:rFonts w:asciiTheme="majorBidi" w:hAnsiTheme="majorBidi" w:cstheme="majorBidi"/>
          <w:sz w:val="16"/>
          <w:szCs w:val="16"/>
        </w:rPr>
      </w:pPr>
      <w:r w:rsidRPr="00CA50A4">
        <w:rPr>
          <w:rFonts w:asciiTheme="majorBidi" w:hAnsiTheme="majorBidi" w:cstheme="majorBidi"/>
          <w:sz w:val="16"/>
          <w:szCs w:val="16"/>
        </w:rPr>
        <w:t>Notes:</w:t>
      </w:r>
    </w:p>
    <w:p w14:paraId="10363CB9" w14:textId="2D8D6B33" w:rsidR="00B20FB9" w:rsidRPr="00041ECB" w:rsidRDefault="00F86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ECB"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>1</w:t>
      </w:r>
      <w:r w:rsidR="00BC585C" w:rsidRPr="00041ECB">
        <w:rPr>
          <w:rFonts w:asciiTheme="majorBidi" w:hAnsiTheme="majorBidi" w:cstheme="majorBidi"/>
          <w:sz w:val="24"/>
          <w:szCs w:val="24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Calculation of initial number of wattle trees</w:t>
      </w:r>
      <w:r w:rsidR="00BA19F9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Monthly production volume wattle bark: 10,932 tonnes </w:t>
      </w:r>
      <w:r w:rsidR="00E311E8" w:rsidRPr="00041E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forecasted monthly production volume based on historical trends reported in DAFF (2020)</w:t>
      </w:r>
      <w:r w:rsidR="00E311E8" w:rsidRPr="00041EC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B30D6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The wattle is grown on a 10-year rotation with 10% harvested each year and average production of 18 tons bark per hectare and 3 tonnes bark makes 1 tonne saleable product </w:t>
      </w:r>
      <w:r w:rsidR="00ED2C24" w:rsidRPr="00041ECB">
        <w:rPr>
          <w:rFonts w:ascii="Times New Roman" w:hAnsi="Times New Roman" w:cs="Times New Roman"/>
          <w:sz w:val="24"/>
          <w:szCs w:val="24"/>
          <w:vertAlign w:val="superscript"/>
        </w:rPr>
        <w:t>(SA Forestry Online, 2009)</w:t>
      </w:r>
      <w:r w:rsidR="00BC585C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Wattle tree density: 1500 trees/ha</w:t>
      </w:r>
      <w:r w:rsidR="00ED2C24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(NCT Forestry Co-Operative Ltd, 2014)</w:t>
      </w:r>
      <w:r w:rsidR="00BC585C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Therefore</w:t>
      </w:r>
      <w:r w:rsidR="004B30D6" w:rsidRPr="00041EC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initial number of trees per month grown for wattle bark</w:t>
      </w:r>
      <w:r w:rsidR="002D4F4C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932</w:t>
      </w:r>
      <w:r w:rsidR="00ED2C24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tonnes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0D624D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tonnes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624D" w:rsidRPr="00041EC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624D" w:rsidRPr="00041ECB">
        <w:rPr>
          <w:rFonts w:ascii="Times New Roman" w:hAnsi="Times New Roman" w:cs="Times New Roman"/>
          <w:sz w:val="24"/>
          <w:szCs w:val="24"/>
          <w:vertAlign w:val="superscript"/>
        </w:rPr>
        <w:t>hectare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624D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tonnes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500</w:t>
      </w:r>
      <w:r w:rsidR="000D624D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trees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624D" w:rsidRPr="00041ECB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624D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hectare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3100" w:rsidRPr="00041ECB">
        <w:rPr>
          <w:rFonts w:ascii="Times New Roman" w:hAnsi="Times New Roman" w:cs="Times New Roman"/>
          <w:sz w:val="24"/>
          <w:szCs w:val="24"/>
          <w:vertAlign w:val="superscript"/>
        </w:rPr>
        <w:t>2.733 million trees</w:t>
      </w:r>
      <w:r w:rsidR="00004F1B" w:rsidRPr="00041ECB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64A4631C" w14:textId="77777777" w:rsidR="001C22A7" w:rsidRDefault="001C22A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68F097B8" w14:textId="62E775F0" w:rsidR="003D42DA" w:rsidRPr="00CA50A4" w:rsidRDefault="003D42DA" w:rsidP="003D42D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A50A4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Stock flow diagrams for the </w:t>
      </w:r>
      <w:r w:rsidR="00E41B64" w:rsidRPr="00CA50A4">
        <w:rPr>
          <w:rFonts w:asciiTheme="majorBidi" w:hAnsiTheme="majorBidi" w:cstheme="majorBidi"/>
          <w:b/>
          <w:bCs/>
          <w:sz w:val="24"/>
          <w:szCs w:val="24"/>
        </w:rPr>
        <w:t>sub-</w:t>
      </w:r>
      <w:r w:rsidRPr="00CA50A4">
        <w:rPr>
          <w:rFonts w:asciiTheme="majorBidi" w:hAnsiTheme="majorBidi" w:cstheme="majorBidi"/>
          <w:b/>
          <w:bCs/>
          <w:sz w:val="24"/>
          <w:szCs w:val="24"/>
        </w:rPr>
        <w:t>model</w:t>
      </w:r>
      <w:r w:rsidR="00E41B64" w:rsidRPr="00CA50A4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68F097B9" w14:textId="0657AA80" w:rsidR="00E41B64" w:rsidRPr="00CA50A4" w:rsidRDefault="003C1117" w:rsidP="00E41B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Diagram 1: </w:t>
      </w:r>
      <w:r w:rsidR="00E41B64" w:rsidRPr="00CA50A4">
        <w:rPr>
          <w:rFonts w:asciiTheme="majorBidi" w:hAnsiTheme="majorBidi" w:cstheme="majorBidi"/>
          <w:b/>
          <w:bCs/>
          <w:sz w:val="24"/>
          <w:szCs w:val="24"/>
        </w:rPr>
        <w:t>Forestry</w:t>
      </w:r>
    </w:p>
    <w:p w14:paraId="68F097BA" w14:textId="77777777" w:rsidR="00E41B64" w:rsidRPr="00F76618" w:rsidRDefault="00E41B64" w:rsidP="00E41B64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noProof/>
          <w:sz w:val="24"/>
          <w:szCs w:val="24"/>
          <w:lang w:eastAsia="en-ZA"/>
        </w:rPr>
        <w:drawing>
          <wp:inline distT="0" distB="0" distL="0" distR="0" wp14:anchorId="68F097DD" wp14:editId="68F097DE">
            <wp:extent cx="5731510" cy="32076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97BB" w14:textId="2D8BCB94" w:rsidR="00E41B64" w:rsidRPr="00F76618" w:rsidRDefault="003C1117" w:rsidP="00E41B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Diagram 2: </w:t>
      </w:r>
      <w:r w:rsidR="00E41B64" w:rsidRPr="00CA50A4">
        <w:rPr>
          <w:rFonts w:asciiTheme="majorBidi" w:hAnsiTheme="majorBidi" w:cstheme="majorBidi"/>
          <w:b/>
          <w:bCs/>
          <w:sz w:val="24"/>
          <w:szCs w:val="24"/>
        </w:rPr>
        <w:t>Crops</w:t>
      </w:r>
    </w:p>
    <w:p w14:paraId="68F097BC" w14:textId="77777777" w:rsidR="00E41B64" w:rsidRPr="00F76618" w:rsidRDefault="00E41B64" w:rsidP="00E41B64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noProof/>
          <w:sz w:val="24"/>
          <w:szCs w:val="24"/>
          <w:lang w:eastAsia="en-ZA"/>
        </w:rPr>
        <w:drawing>
          <wp:inline distT="0" distB="0" distL="0" distR="0" wp14:anchorId="68F097DF" wp14:editId="68F097E0">
            <wp:extent cx="5731510" cy="402349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2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97BD" w14:textId="77777777" w:rsidR="00956929" w:rsidRPr="00F76618" w:rsidRDefault="00956929" w:rsidP="00E41B64">
      <w:pPr>
        <w:rPr>
          <w:rFonts w:asciiTheme="majorBidi" w:hAnsiTheme="majorBidi" w:cstheme="majorBidi"/>
          <w:sz w:val="24"/>
          <w:szCs w:val="24"/>
        </w:rPr>
      </w:pPr>
    </w:p>
    <w:p w14:paraId="68F097BE" w14:textId="77777777" w:rsidR="00956929" w:rsidRPr="00F76618" w:rsidRDefault="00956929" w:rsidP="00E41B64">
      <w:pPr>
        <w:rPr>
          <w:rFonts w:asciiTheme="majorBidi" w:hAnsiTheme="majorBidi" w:cstheme="majorBidi"/>
          <w:sz w:val="24"/>
          <w:szCs w:val="24"/>
        </w:rPr>
      </w:pPr>
    </w:p>
    <w:p w14:paraId="68F097BF" w14:textId="75268AE6" w:rsidR="00956929" w:rsidRPr="00F76618" w:rsidRDefault="003C1117" w:rsidP="00E41B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Diagram 3: </w:t>
      </w:r>
      <w:r w:rsidR="00956929" w:rsidRPr="00CA50A4">
        <w:rPr>
          <w:rFonts w:asciiTheme="majorBidi" w:hAnsiTheme="majorBidi" w:cstheme="majorBidi"/>
          <w:b/>
          <w:bCs/>
          <w:sz w:val="24"/>
          <w:szCs w:val="24"/>
        </w:rPr>
        <w:t>Primary forest</w:t>
      </w:r>
    </w:p>
    <w:p w14:paraId="68F097C0" w14:textId="77777777" w:rsidR="00956929" w:rsidRPr="00F76618" w:rsidRDefault="005E3389" w:rsidP="00E41B64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noProof/>
          <w:sz w:val="24"/>
          <w:szCs w:val="24"/>
          <w:lang w:eastAsia="en-ZA"/>
        </w:rPr>
        <w:drawing>
          <wp:inline distT="0" distB="0" distL="0" distR="0" wp14:anchorId="68F097E1" wp14:editId="68F097E2">
            <wp:extent cx="5731510" cy="24596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97C1" w14:textId="77777777" w:rsidR="001C33DB" w:rsidRPr="00F76618" w:rsidRDefault="001C33DB" w:rsidP="00E41B64">
      <w:pPr>
        <w:rPr>
          <w:rFonts w:asciiTheme="majorBidi" w:hAnsiTheme="majorBidi" w:cstheme="majorBidi"/>
          <w:sz w:val="24"/>
          <w:szCs w:val="24"/>
        </w:rPr>
      </w:pPr>
    </w:p>
    <w:p w14:paraId="68F097C2" w14:textId="5F27EDE4" w:rsidR="001C33DB" w:rsidRPr="00CA50A4" w:rsidRDefault="003C1117" w:rsidP="00E41B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Diagram 4: </w:t>
      </w:r>
      <w:r w:rsidR="001C33DB" w:rsidRPr="00CA50A4">
        <w:rPr>
          <w:rFonts w:asciiTheme="majorBidi" w:hAnsiTheme="majorBidi" w:cstheme="majorBidi"/>
          <w:b/>
          <w:bCs/>
          <w:sz w:val="24"/>
          <w:szCs w:val="24"/>
        </w:rPr>
        <w:t>Urban trees</w:t>
      </w:r>
    </w:p>
    <w:p w14:paraId="68F097C3" w14:textId="77777777" w:rsidR="00956929" w:rsidRPr="00F76618" w:rsidRDefault="001C33DB" w:rsidP="00E41B64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noProof/>
          <w:sz w:val="24"/>
          <w:szCs w:val="24"/>
          <w:lang w:eastAsia="en-ZA"/>
        </w:rPr>
        <w:drawing>
          <wp:inline distT="0" distB="0" distL="0" distR="0" wp14:anchorId="68F097E3" wp14:editId="68F097E4">
            <wp:extent cx="5731510" cy="15504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97C4" w14:textId="77777777" w:rsidR="001C33DB" w:rsidRPr="00F76618" w:rsidRDefault="001C33DB" w:rsidP="00E41B64">
      <w:pPr>
        <w:rPr>
          <w:rFonts w:asciiTheme="majorBidi" w:hAnsiTheme="majorBidi" w:cstheme="majorBidi"/>
          <w:sz w:val="24"/>
          <w:szCs w:val="24"/>
        </w:rPr>
      </w:pPr>
    </w:p>
    <w:p w14:paraId="04296772" w14:textId="77777777" w:rsidR="00B20FB9" w:rsidRDefault="00B20FB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68F097C5" w14:textId="20B282BB" w:rsidR="00956929" w:rsidRPr="00F76618" w:rsidRDefault="003C1117" w:rsidP="00E41B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Diagram 5: </w:t>
      </w:r>
      <w:r w:rsidR="00956929" w:rsidRPr="00CA50A4">
        <w:rPr>
          <w:rFonts w:asciiTheme="majorBidi" w:hAnsiTheme="majorBidi" w:cstheme="majorBidi"/>
          <w:b/>
          <w:bCs/>
          <w:sz w:val="24"/>
          <w:szCs w:val="24"/>
        </w:rPr>
        <w:t>Economics</w:t>
      </w:r>
    </w:p>
    <w:p w14:paraId="68F097C6" w14:textId="77777777" w:rsidR="00956929" w:rsidRPr="00F76618" w:rsidRDefault="00956929" w:rsidP="00E41B64">
      <w:pPr>
        <w:rPr>
          <w:rFonts w:asciiTheme="majorBidi" w:hAnsiTheme="majorBidi" w:cstheme="majorBidi"/>
          <w:sz w:val="24"/>
          <w:szCs w:val="24"/>
        </w:rPr>
      </w:pPr>
      <w:r w:rsidRPr="00F76618">
        <w:rPr>
          <w:rFonts w:asciiTheme="majorBidi" w:hAnsiTheme="majorBidi" w:cstheme="majorBidi"/>
          <w:noProof/>
          <w:sz w:val="24"/>
          <w:szCs w:val="24"/>
          <w:lang w:eastAsia="en-ZA"/>
        </w:rPr>
        <w:drawing>
          <wp:inline distT="0" distB="0" distL="0" distR="0" wp14:anchorId="68F097E5" wp14:editId="68F097E6">
            <wp:extent cx="5731510" cy="409552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097C7" w14:textId="77777777" w:rsidR="00956929" w:rsidRPr="00F76618" w:rsidRDefault="00956929" w:rsidP="00E41B64">
      <w:pPr>
        <w:rPr>
          <w:rFonts w:asciiTheme="majorBidi" w:hAnsiTheme="majorBidi" w:cstheme="majorBidi"/>
          <w:sz w:val="24"/>
          <w:szCs w:val="24"/>
        </w:rPr>
      </w:pPr>
    </w:p>
    <w:p w14:paraId="68F097C8" w14:textId="77777777" w:rsidR="00EC65D5" w:rsidRPr="00F76618" w:rsidRDefault="00EC65D5" w:rsidP="00C71151">
      <w:pPr>
        <w:rPr>
          <w:rFonts w:asciiTheme="majorBidi" w:hAnsiTheme="majorBidi" w:cstheme="majorBidi"/>
          <w:sz w:val="24"/>
          <w:szCs w:val="24"/>
        </w:rPr>
      </w:pPr>
    </w:p>
    <w:p w14:paraId="0E9F6A9E" w14:textId="77777777" w:rsidR="00B20FB9" w:rsidRDefault="00B20FB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68F097CA" w14:textId="13E85CB2" w:rsidR="00C71151" w:rsidRPr="00F76618" w:rsidRDefault="00C71151" w:rsidP="00C71151">
      <w:pPr>
        <w:rPr>
          <w:rFonts w:asciiTheme="majorBidi" w:hAnsiTheme="majorBidi" w:cstheme="majorBidi"/>
          <w:sz w:val="24"/>
          <w:szCs w:val="24"/>
        </w:rPr>
      </w:pPr>
      <w:r w:rsidRPr="00CA50A4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</w:t>
      </w:r>
      <w:r w:rsidR="00EC65D5" w:rsidRPr="00CA50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B4A24" w:rsidRPr="00F76618">
        <w:rPr>
          <w:rFonts w:asciiTheme="majorBidi" w:hAnsiTheme="majorBidi" w:cstheme="majorBidi"/>
          <w:sz w:val="24"/>
          <w:szCs w:val="24"/>
        </w:rPr>
        <w:t xml:space="preserve"> </w:t>
      </w:r>
    </w:p>
    <w:p w14:paraId="5806F84C" w14:textId="118BFC23" w:rsidR="003C1117" w:rsidRPr="003C1117" w:rsidRDefault="003C1117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C1117">
        <w:rPr>
          <w:rFonts w:ascii="Times New Roman" w:hAnsi="Times New Roman" w:cs="Times New Roman"/>
          <w:noProof/>
          <w:sz w:val="24"/>
          <w:szCs w:val="24"/>
        </w:rPr>
        <w:t>Crookes DJ (2012) Modelling the ecological-economic impacts of restoring natural capital, with a special focus on water and agriculture, at eight sites in South Africa. Stellenbosch</w:t>
      </w:r>
      <w:r w:rsidR="00981A27">
        <w:rPr>
          <w:rFonts w:ascii="Times New Roman" w:hAnsi="Times New Roman" w:cs="Times New Roman"/>
          <w:noProof/>
          <w:sz w:val="24"/>
          <w:szCs w:val="24"/>
        </w:rPr>
        <w:t>.</w:t>
      </w:r>
      <w:r w:rsidR="009D73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C1117">
        <w:rPr>
          <w:rFonts w:ascii="Times New Roman" w:hAnsi="Times New Roman" w:cs="Times New Roman"/>
          <w:noProof/>
          <w:sz w:val="24"/>
          <w:szCs w:val="24"/>
        </w:rPr>
        <w:t>Stellenbosch University</w:t>
      </w:r>
    </w:p>
    <w:p w14:paraId="3D9E3E39" w14:textId="6B47EE1C" w:rsidR="008652D0" w:rsidRDefault="003559D9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559D9">
        <w:rPr>
          <w:rFonts w:ascii="Times New Roman" w:hAnsi="Times New Roman" w:cs="Times New Roman"/>
          <w:noProof/>
          <w:sz w:val="24"/>
          <w:szCs w:val="24"/>
        </w:rPr>
        <w:t xml:space="preserve">Brenner J, Jiménez JA, Sardá R, Garola A (2010) An assessment of the non-market value of the ecosystem services provided by the Catalan coastal zone, Spain. Ocean Coast Manag 53:27–38. </w:t>
      </w:r>
      <w:hyperlink r:id="rId16" w:history="1">
        <w:r w:rsidR="008652D0" w:rsidRPr="007E0D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https://doi.org/10.1016/j.ocecoaman.2009.10.008</w:t>
        </w:r>
      </w:hyperlink>
    </w:p>
    <w:p w14:paraId="7FE6DB7F" w14:textId="29588340" w:rsidR="008652D0" w:rsidRPr="00B43352" w:rsidRDefault="00B43352" w:rsidP="009D73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43352">
        <w:rPr>
          <w:rFonts w:ascii="Times New Roman" w:hAnsi="Times New Roman" w:cs="Times New Roman"/>
          <w:noProof/>
          <w:sz w:val="24"/>
          <w:szCs w:val="24"/>
        </w:rPr>
        <w:t xml:space="preserve">De Groot R, Brander L, van der Ploeg S, et al (2012) Global estimates of the value of ecosystems and their services in monetary units. Ecosyst Serv 1:50–61 </w:t>
      </w:r>
      <w:hyperlink r:id="rId17" w:history="1">
        <w:r w:rsidR="008652D0" w:rsidRPr="007E0D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https://doi.org/10.1016/j.ecoser.2012.07.005</w:t>
        </w:r>
      </w:hyperlink>
    </w:p>
    <w:p w14:paraId="0772C6F5" w14:textId="07A0AFDF" w:rsidR="00B43352" w:rsidRDefault="00B43352" w:rsidP="009D73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43352">
        <w:rPr>
          <w:rFonts w:ascii="Times New Roman" w:hAnsi="Times New Roman" w:cs="Times New Roman"/>
          <w:noProof/>
          <w:sz w:val="24"/>
          <w:szCs w:val="24"/>
        </w:rPr>
        <w:t xml:space="preserve">De Groot RS, Blignaut J, Van der Ploeg S, et al (2013) Benefits of investing in ecosystem restoration. Conserv Biol 27:1286–1293. </w:t>
      </w:r>
      <w:hyperlink r:id="rId18" w:history="1">
        <w:r w:rsidRPr="009A4C4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https://doi.org/10.1111/cobi.12158</w:t>
        </w:r>
      </w:hyperlink>
    </w:p>
    <w:p w14:paraId="7E1A2AC8" w14:textId="5A5B9BBF" w:rsidR="005939E6" w:rsidRDefault="005939E6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939E6">
        <w:rPr>
          <w:rFonts w:ascii="Times New Roman" w:hAnsi="Times New Roman" w:cs="Times New Roman"/>
          <w:noProof/>
          <w:sz w:val="24"/>
          <w:szCs w:val="24"/>
        </w:rPr>
        <w:t>Department of Agriculture, Forestry and Fisheries (DAFF) (2020) Abstract of Agricultural Statistics 2019 [Excel spreadsheet]. Government Printer, Pretoria</w:t>
      </w:r>
    </w:p>
    <w:p w14:paraId="3C7A9ECB" w14:textId="42E3626B" w:rsidR="005939E6" w:rsidRDefault="005939E6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939E6">
        <w:rPr>
          <w:rFonts w:ascii="Times New Roman" w:hAnsi="Times New Roman" w:cs="Times New Roman"/>
          <w:noProof/>
          <w:sz w:val="24"/>
          <w:szCs w:val="24"/>
        </w:rPr>
        <w:t>Forestry South Africa (2020) South African Forestry &amp; Forest Products Industry Facts:  1980 - 2017 (Excel document). https://forestry.co.za/statistical-data. Accessed: 11 June 2020</w:t>
      </w:r>
    </w:p>
    <w:p w14:paraId="253E175D" w14:textId="3C6C5182" w:rsidR="003F6C86" w:rsidRDefault="003F6C86" w:rsidP="003F6C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Garret C</w:t>
      </w: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3F6C86">
        <w:rPr>
          <w:rFonts w:ascii="Times New Roman" w:hAnsi="Times New Roman" w:cs="Times New Roman"/>
          <w:noProof/>
          <w:sz w:val="24"/>
          <w:szCs w:val="24"/>
        </w:rPr>
        <w:t>2016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 South Africa: ramp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ing up avocado production. </w:t>
      </w:r>
      <w:hyperlink r:id="rId19" w:history="1">
        <w:r w:rsidRPr="002701C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https://www.freshplaza.com/article/2155043/south-africa-ramping-up-avocado-production/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Accessed: </w:t>
      </w:r>
      <w:r w:rsidRPr="003F6C86">
        <w:rPr>
          <w:rFonts w:ascii="Times New Roman" w:hAnsi="Times New Roman" w:cs="Times New Roman"/>
          <w:noProof/>
          <w:sz w:val="24"/>
          <w:szCs w:val="24"/>
        </w:rPr>
        <w:t>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November </w:t>
      </w:r>
      <w:r w:rsidRPr="003F6C86">
        <w:rPr>
          <w:rFonts w:ascii="Times New Roman" w:hAnsi="Times New Roman" w:cs="Times New Roman"/>
          <w:noProof/>
          <w:sz w:val="24"/>
          <w:szCs w:val="24"/>
        </w:rPr>
        <w:t>2020</w:t>
      </w:r>
    </w:p>
    <w:p w14:paraId="4144D403" w14:textId="31BD6137" w:rsidR="003F6C86" w:rsidRDefault="003F6C86" w:rsidP="003F6C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Global Finance. 2020. GDP-GNI-Definitions https://www.gfmag.com/global-data/glossary/gdp-gni-definitions#:~:text=PPP%20GNI%20is%20gross%20national,has%20in%20the%20United%20States.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Accessed </w:t>
      </w:r>
      <w:r w:rsidRPr="003F6C86"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November 2020</w:t>
      </w:r>
    </w:p>
    <w:p w14:paraId="036F9EB0" w14:textId="5AF81146" w:rsidR="003F6C86" w:rsidRDefault="003F6C86" w:rsidP="003F6C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Investing.com. 2020. </w:t>
      </w:r>
      <w:r>
        <w:rPr>
          <w:rFonts w:ascii="Times New Roman" w:hAnsi="Times New Roman" w:cs="Times New Roman"/>
          <w:noProof/>
          <w:sz w:val="24"/>
          <w:szCs w:val="24"/>
        </w:rPr>
        <w:t>USD/ZAR Historical Data</w:t>
      </w: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hyperlink r:id="rId20" w:history="1">
        <w:r w:rsidRPr="002701C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https://za.investing.com/currencies/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Accessed </w:t>
      </w:r>
      <w:r w:rsidRPr="003F6C86"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November 2020</w:t>
      </w:r>
    </w:p>
    <w:p w14:paraId="3F09604B" w14:textId="5EB24FD2" w:rsidR="003F6C86" w:rsidRPr="003C1117" w:rsidRDefault="003F6C86" w:rsidP="003F6C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F6C86">
        <w:rPr>
          <w:rFonts w:ascii="Times New Roman" w:hAnsi="Times New Roman" w:cs="Times New Roman"/>
          <w:noProof/>
          <w:sz w:val="24"/>
          <w:szCs w:val="24"/>
        </w:rPr>
        <w:t>Joh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annesburg </w:t>
      </w:r>
      <w:r w:rsidR="00887EEC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rban </w:t>
      </w:r>
      <w:r w:rsidR="00887EEC">
        <w:rPr>
          <w:rFonts w:ascii="Times New Roman" w:hAnsi="Times New Roman" w:cs="Times New Roman"/>
          <w:noProof/>
          <w:sz w:val="24"/>
          <w:szCs w:val="24"/>
        </w:rPr>
        <w:t>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orest </w:t>
      </w:r>
      <w:r w:rsidR="00887EEC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lliance (JUFA) (2020).</w:t>
      </w: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Johannesburg as an urban forest </w:t>
      </w:r>
      <w:r w:rsidRPr="003F6C86">
        <w:rPr>
          <w:rFonts w:ascii="Times New Roman" w:hAnsi="Times New Roman" w:cs="Times New Roman"/>
          <w:noProof/>
          <w:sz w:val="24"/>
          <w:szCs w:val="24"/>
        </w:rPr>
        <w:t>http://www.jufa.org.za/about.html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 Accessed: 23 November 2020</w:t>
      </w:r>
    </w:p>
    <w:p w14:paraId="19581208" w14:textId="2E2053F7" w:rsidR="008652D0" w:rsidRDefault="003C1117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Jones ME, Paine TD (2015) Effect of </w:t>
      </w:r>
      <w:r w:rsidR="00AB7894">
        <w:rPr>
          <w:rFonts w:ascii="Times New Roman" w:hAnsi="Times New Roman" w:cs="Times New Roman"/>
          <w:noProof/>
          <w:sz w:val="24"/>
          <w:szCs w:val="24"/>
        </w:rPr>
        <w:t>c</w:t>
      </w: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hipping and </w:t>
      </w:r>
      <w:r w:rsidR="00AB7894">
        <w:rPr>
          <w:rFonts w:ascii="Times New Roman" w:hAnsi="Times New Roman" w:cs="Times New Roman"/>
          <w:noProof/>
          <w:sz w:val="24"/>
          <w:szCs w:val="24"/>
        </w:rPr>
        <w:t>s</w:t>
      </w: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olarization on </w:t>
      </w:r>
      <w:r w:rsidR="00AB7894">
        <w:rPr>
          <w:rFonts w:ascii="Times New Roman" w:hAnsi="Times New Roman" w:cs="Times New Roman"/>
          <w:noProof/>
          <w:sz w:val="24"/>
          <w:szCs w:val="24"/>
        </w:rPr>
        <w:t>e</w:t>
      </w: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mergence and </w:t>
      </w:r>
      <w:r w:rsidR="00AB7894">
        <w:rPr>
          <w:rFonts w:ascii="Times New Roman" w:hAnsi="Times New Roman" w:cs="Times New Roman"/>
          <w:noProof/>
          <w:sz w:val="24"/>
          <w:szCs w:val="24"/>
        </w:rPr>
        <w:t>b</w:t>
      </w: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oring </w:t>
      </w:r>
      <w:r w:rsidR="00AB7894">
        <w:rPr>
          <w:rFonts w:ascii="Times New Roman" w:hAnsi="Times New Roman" w:cs="Times New Roman"/>
          <w:noProof/>
          <w:sz w:val="24"/>
          <w:szCs w:val="24"/>
        </w:rPr>
        <w:t>a</w:t>
      </w: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ctivity of a </w:t>
      </w:r>
      <w:r w:rsidR="00AB7894">
        <w:rPr>
          <w:rFonts w:ascii="Times New Roman" w:hAnsi="Times New Roman" w:cs="Times New Roman"/>
          <w:noProof/>
          <w:sz w:val="24"/>
          <w:szCs w:val="24"/>
        </w:rPr>
        <w:t>r</w:t>
      </w: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ecently </w:t>
      </w:r>
      <w:r w:rsidR="00AB7894">
        <w:rPr>
          <w:rFonts w:ascii="Times New Roman" w:hAnsi="Times New Roman" w:cs="Times New Roman"/>
          <w:noProof/>
          <w:sz w:val="24"/>
          <w:szCs w:val="24"/>
        </w:rPr>
        <w:t>i</w:t>
      </w: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ntroduced Ambrosia Beetle (Euwallacea sp., Coleoptera: Curculionidae: Scolytinae) in Southern California. J Econ Entomol 108:1852–1859. </w:t>
      </w:r>
      <w:hyperlink r:id="rId21" w:history="1">
        <w:r w:rsidR="008652D0" w:rsidRPr="007E0D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https://doi.org/10.1093/jee/tov169</w:t>
        </w:r>
      </w:hyperlink>
    </w:p>
    <w:p w14:paraId="610CFDFC" w14:textId="3A7052CB" w:rsidR="00C85686" w:rsidRPr="003C1117" w:rsidRDefault="00C85686" w:rsidP="009D73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5686">
        <w:rPr>
          <w:rFonts w:ascii="Times New Roman" w:hAnsi="Times New Roman" w:cs="Times New Roman"/>
          <w:noProof/>
          <w:sz w:val="24"/>
          <w:szCs w:val="24"/>
        </w:rPr>
        <w:t>NCT Forestry Co-Operative Ltd, 2014. News 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 Views No. 84 April 2014. </w:t>
      </w:r>
      <w:hyperlink r:id="rId22" w:history="1">
        <w:r w:rsidRPr="002701C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http://www.nctforest.com/upload/Publications/News%20n%20Views%20April%202014%20electronic.pdf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Accessed: </w:t>
      </w:r>
      <w:r w:rsidRPr="00C85686">
        <w:rPr>
          <w:rFonts w:ascii="Times New Roman" w:hAnsi="Times New Roman" w:cs="Times New Roman"/>
          <w:noProof/>
          <w:sz w:val="24"/>
          <w:szCs w:val="24"/>
        </w:rPr>
        <w:t>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November 2020</w:t>
      </w:r>
    </w:p>
    <w:p w14:paraId="3E4CCB20" w14:textId="77777777" w:rsidR="003C1117" w:rsidRDefault="003C1117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C1117">
        <w:rPr>
          <w:rFonts w:ascii="Times New Roman" w:hAnsi="Times New Roman" w:cs="Times New Roman"/>
          <w:noProof/>
          <w:sz w:val="24"/>
          <w:szCs w:val="24"/>
        </w:rPr>
        <w:t>McPherson EG (2003) A benefit-cost analysis of ten tree species in Modesto, California, U.S.A. J Arboric 29:1–8</w:t>
      </w:r>
    </w:p>
    <w:p w14:paraId="745F2CA9" w14:textId="762665D9" w:rsidR="003F6C86" w:rsidRDefault="003F6C86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F6C86">
        <w:rPr>
          <w:rFonts w:ascii="Times New Roman" w:hAnsi="Times New Roman" w:cs="Times New Roman"/>
          <w:noProof/>
          <w:sz w:val="24"/>
          <w:szCs w:val="24"/>
        </w:rPr>
        <w:t>Mongab</w:t>
      </w:r>
      <w:r w:rsidR="009D6181">
        <w:rPr>
          <w:rFonts w:ascii="Times New Roman" w:hAnsi="Times New Roman" w:cs="Times New Roman"/>
          <w:noProof/>
          <w:sz w:val="24"/>
          <w:szCs w:val="24"/>
        </w:rPr>
        <w:t>a</w:t>
      </w:r>
      <w:r w:rsidRPr="003F6C86">
        <w:rPr>
          <w:rFonts w:ascii="Times New Roman" w:hAnsi="Times New Roman" w:cs="Times New Roman"/>
          <w:noProof/>
          <w:sz w:val="24"/>
          <w:szCs w:val="24"/>
        </w:rPr>
        <w:t>y (2011) South Africa Forest Information and Data.   https://rainforests.mongabay.com/deforestation/2000/South_Africa.htm. Accessed: 11 June 2020</w:t>
      </w:r>
    </w:p>
    <w:p w14:paraId="7D126BE4" w14:textId="77777777" w:rsidR="003679A5" w:rsidRDefault="003157CD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157CD">
        <w:rPr>
          <w:rFonts w:ascii="Times New Roman" w:hAnsi="Times New Roman" w:cs="Times New Roman"/>
          <w:noProof/>
          <w:sz w:val="24"/>
          <w:szCs w:val="24"/>
        </w:rPr>
        <w:t>Oberholzer F, Godsmark R (2020). Forestry South Africa Roundwood Sales Analysis for 2019 Financial Year. Forestry South Africa. 1–31.</w:t>
      </w:r>
    </w:p>
    <w:p w14:paraId="14B32BD3" w14:textId="77777777" w:rsidR="003679A5" w:rsidRDefault="003C1117" w:rsidP="00C856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C1117">
        <w:rPr>
          <w:rFonts w:ascii="Times New Roman" w:hAnsi="Times New Roman" w:cs="Times New Roman"/>
          <w:noProof/>
          <w:sz w:val="24"/>
          <w:szCs w:val="24"/>
        </w:rPr>
        <w:lastRenderedPageBreak/>
        <w:t>Peper P, McPherson EG, Simpson JR, et al (2007) New York City, New York. Municipal Forest Resource Analysis. Davis, CA</w:t>
      </w:r>
    </w:p>
    <w:p w14:paraId="67A2FD0A" w14:textId="43E3C96D" w:rsidR="00C85686" w:rsidRPr="003C1117" w:rsidRDefault="00C85686" w:rsidP="00C856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 Forestry Online (2009)</w:t>
      </w:r>
      <w:r w:rsidRPr="00C85686">
        <w:rPr>
          <w:rFonts w:ascii="Times New Roman" w:hAnsi="Times New Roman" w:cs="Times New Roman"/>
          <w:noProof/>
          <w:sz w:val="24"/>
          <w:szCs w:val="24"/>
        </w:rPr>
        <w:t xml:space="preserve"> Harvesting wattle bark the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UCL way. </w:t>
      </w:r>
      <w:hyperlink r:id="rId23" w:history="1">
        <w:r w:rsidRPr="002701C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http://saforestryonline.co.za/articles/harvesting_silviculture/harvesting_wattle_bark_the_ucl_way/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. Accessed: 23 November 2020</w:t>
      </w:r>
      <w:r w:rsidRPr="00C8568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F62679" w14:textId="5FA2AF21" w:rsidR="003C1117" w:rsidRPr="003C1117" w:rsidRDefault="003C1117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C1117">
        <w:rPr>
          <w:rFonts w:ascii="Times New Roman" w:hAnsi="Times New Roman" w:cs="Times New Roman"/>
          <w:noProof/>
          <w:sz w:val="24"/>
          <w:szCs w:val="24"/>
        </w:rPr>
        <w:t>Schäffler A, Christopher N, Bobbins K, et al (2013) State of Green Infrastructure in the Gauteng City-Region</w:t>
      </w:r>
      <w:r w:rsidR="00DD34D0">
        <w:rPr>
          <w:rFonts w:ascii="Times New Roman" w:hAnsi="Times New Roman" w:cs="Times New Roman"/>
          <w:noProof/>
          <w:sz w:val="24"/>
          <w:szCs w:val="24"/>
        </w:rPr>
        <w:t>. G</w:t>
      </w:r>
      <w:r w:rsidR="00882F55">
        <w:rPr>
          <w:rFonts w:ascii="Times New Roman" w:hAnsi="Times New Roman" w:cs="Times New Roman"/>
          <w:noProof/>
          <w:sz w:val="24"/>
          <w:szCs w:val="24"/>
        </w:rPr>
        <w:t>auteng City-Region Observatory</w:t>
      </w:r>
      <w:r w:rsidR="00DD34D0">
        <w:rPr>
          <w:rFonts w:ascii="Times New Roman" w:hAnsi="Times New Roman" w:cs="Times New Roman"/>
          <w:noProof/>
          <w:sz w:val="24"/>
          <w:szCs w:val="24"/>
        </w:rPr>
        <w:t>, Jo</w:t>
      </w:r>
      <w:r w:rsidR="008628FA">
        <w:rPr>
          <w:rFonts w:ascii="Times New Roman" w:hAnsi="Times New Roman" w:cs="Times New Roman"/>
          <w:noProof/>
          <w:sz w:val="24"/>
          <w:szCs w:val="24"/>
        </w:rPr>
        <w:t>hannesburg.</w:t>
      </w:r>
    </w:p>
    <w:p w14:paraId="51117557" w14:textId="3B170A9D" w:rsidR="009D73D8" w:rsidRDefault="003C1117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C1117">
        <w:rPr>
          <w:rFonts w:ascii="Times New Roman" w:hAnsi="Times New Roman" w:cs="Times New Roman"/>
          <w:noProof/>
          <w:sz w:val="24"/>
          <w:szCs w:val="24"/>
        </w:rPr>
        <w:t xml:space="preserve">Soares AL, Rego FC, McPherson EG, et al (2011) Benefits and costs of street trees in Lisbon, Portugal. Urban For Urban Green 10:69–78. </w:t>
      </w:r>
      <w:hyperlink r:id="rId24" w:history="1">
        <w:r w:rsidR="009D73D8" w:rsidRPr="007E0D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https://doi.org/10.1016/j.ufug.2010.12.001</w:t>
        </w:r>
      </w:hyperlink>
    </w:p>
    <w:p w14:paraId="31461E1D" w14:textId="72264A9C" w:rsidR="003F6C86" w:rsidRPr="003F6C86" w:rsidRDefault="003F6C86" w:rsidP="009D73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StatsSA</w:t>
      </w: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3F6C86">
        <w:rPr>
          <w:rFonts w:ascii="Times New Roman" w:hAnsi="Times New Roman" w:cs="Times New Roman"/>
          <w:noProof/>
          <w:sz w:val="24"/>
          <w:szCs w:val="24"/>
        </w:rPr>
        <w:t>2013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 What is the Consumer Price Index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3F6C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25" w:history="1">
        <w:r w:rsidRPr="002701C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http://www.statssa.gov.za/?p=955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. Accessed </w:t>
      </w:r>
      <w:r w:rsidRPr="003F6C86"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November 2020</w:t>
      </w:r>
    </w:p>
    <w:p w14:paraId="32C8FB04" w14:textId="54B84EF4" w:rsidR="006A0AE1" w:rsidRPr="006A0AE1" w:rsidRDefault="003F6C86" w:rsidP="006A0AE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142AF">
        <w:rPr>
          <w:rFonts w:ascii="Times New Roman" w:hAnsi="Times New Roman" w:cs="Times New Roman"/>
          <w:noProof/>
          <w:sz w:val="24"/>
          <w:szCs w:val="24"/>
        </w:rPr>
        <w:t xml:space="preserve">StatsSA (2020) Consumer Price Index (CPI) </w:t>
      </w:r>
      <w:hyperlink r:id="rId26" w:history="1">
        <w:r w:rsidRPr="008142A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http://www.statssa.gov.za/</w:t>
        </w:r>
      </w:hyperlink>
      <w:r w:rsidRPr="008142AF">
        <w:rPr>
          <w:rFonts w:ascii="Times New Roman" w:hAnsi="Times New Roman" w:cs="Times New Roman"/>
          <w:noProof/>
          <w:sz w:val="24"/>
          <w:szCs w:val="24"/>
        </w:rPr>
        <w:t>. Accessed: 12 November 2020</w:t>
      </w:r>
      <w:r w:rsidR="003C1117" w:rsidRPr="003C1117">
        <w:rPr>
          <w:rFonts w:ascii="Times New Roman" w:hAnsi="Times New Roman" w:cs="Times New Roman"/>
          <w:noProof/>
          <w:sz w:val="24"/>
          <w:szCs w:val="24"/>
        </w:rPr>
        <w:t>Stoffberg GH (2006) Growth and carbon sequestration by street trees in the City of Tshwane, South Africa. University of Pretoria</w:t>
      </w:r>
    </w:p>
    <w:p w14:paraId="0E13EDA3" w14:textId="77777777" w:rsidR="006A0AE1" w:rsidRDefault="006A0AE1" w:rsidP="003F6C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A0AE1">
        <w:rPr>
          <w:rFonts w:ascii="Times New Roman" w:hAnsi="Times New Roman" w:cs="Times New Roman"/>
          <w:noProof/>
          <w:sz w:val="24"/>
          <w:szCs w:val="24"/>
        </w:rPr>
        <w:t>Stoffberg GH (2006) Growth and carbon sequestration by street trees in the City of Tshwane, South Africa. University of Pretoria</w:t>
      </w:r>
    </w:p>
    <w:p w14:paraId="4ED699E5" w14:textId="0B59C62A" w:rsidR="00C85686" w:rsidRPr="003C1117" w:rsidRDefault="00C85686" w:rsidP="003F6C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85686">
        <w:rPr>
          <w:rFonts w:ascii="Times New Roman" w:hAnsi="Times New Roman" w:cs="Times New Roman"/>
          <w:noProof/>
          <w:sz w:val="24"/>
          <w:szCs w:val="24"/>
        </w:rPr>
        <w:t>Treepedia (2020) Exploring the green canopy in cities around the world. http://senseable.mit.edu/treepedia/cities/cape%20town. Accessed: 23 November 2020</w:t>
      </w:r>
    </w:p>
    <w:p w14:paraId="46554828" w14:textId="146FFF53" w:rsidR="00903888" w:rsidRDefault="00085F7D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85F7D">
        <w:rPr>
          <w:rFonts w:ascii="Times New Roman" w:hAnsi="Times New Roman" w:cs="Times New Roman"/>
          <w:noProof/>
          <w:sz w:val="24"/>
          <w:szCs w:val="24"/>
        </w:rPr>
        <w:t xml:space="preserve">Turpie JK, Forsythe KJ, Knowles A, et al (2017) Mapping and valuation of South Africa’s ecosystem services: A local perspective. Ecosyst Serv 27:179-192 </w:t>
      </w:r>
      <w:hyperlink r:id="rId27" w:history="1">
        <w:r w:rsidR="00903888" w:rsidRPr="009A4C4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https://doi.org/10.1016/j.ecoser.2017.07.008</w:t>
        </w:r>
      </w:hyperlink>
    </w:p>
    <w:p w14:paraId="30AA6622" w14:textId="777E60D2" w:rsidR="003C1117" w:rsidRDefault="003C1117" w:rsidP="003C111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3C1117">
        <w:rPr>
          <w:rFonts w:ascii="Times New Roman" w:hAnsi="Times New Roman" w:cs="Times New Roman"/>
          <w:noProof/>
          <w:sz w:val="24"/>
          <w:szCs w:val="24"/>
        </w:rPr>
        <w:t>Van Zyl H, De Wit MP (2013) Environmental Impact Assessment for the proposed National Road 3: Keeversfontein To Warden (De Beers Pass Section). Environmental Resource Economics Draft Specialist Report</w:t>
      </w:r>
    </w:p>
    <w:p w14:paraId="1C510DC0" w14:textId="7F25D08B" w:rsidR="000D624D" w:rsidRPr="00F76618" w:rsidRDefault="00F1665E" w:rsidP="00041EC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Theme="majorBidi" w:hAnsiTheme="majorBidi" w:cstheme="majorBidi"/>
          <w:sz w:val="24"/>
          <w:szCs w:val="24"/>
        </w:rPr>
      </w:pPr>
      <w:r w:rsidRPr="00F1665E">
        <w:rPr>
          <w:rFonts w:ascii="Times New Roman" w:hAnsi="Times New Roman" w:cs="Times New Roman"/>
          <w:noProof/>
          <w:sz w:val="24"/>
        </w:rPr>
        <w:t>World Bank (2020) GDP per capita, PPP (current international $) - South Africa https://data.worldbank.org/indicator/NY.GDP.PCAP.PP.CD?locations=ZA&amp;name_desc=true. Accessed 13 November 2020</w:t>
      </w:r>
    </w:p>
    <w:sectPr w:rsidR="000D624D" w:rsidRPr="00F76618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B5093" w14:textId="77777777" w:rsidR="00E02E93" w:rsidRDefault="00E02E93" w:rsidP="00E13F2E">
      <w:pPr>
        <w:spacing w:after="0" w:line="240" w:lineRule="auto"/>
      </w:pPr>
      <w:r>
        <w:separator/>
      </w:r>
    </w:p>
  </w:endnote>
  <w:endnote w:type="continuationSeparator" w:id="0">
    <w:p w14:paraId="1500E87B" w14:textId="77777777" w:rsidR="00E02E93" w:rsidRDefault="00E02E93" w:rsidP="00E1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3364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A45B6" w14:textId="3F0F5D17" w:rsidR="00E13F2E" w:rsidRDefault="00E13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9C352" w14:textId="77777777" w:rsidR="00E13F2E" w:rsidRDefault="00E1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32165" w14:textId="77777777" w:rsidR="00E02E93" w:rsidRDefault="00E02E93" w:rsidP="00E13F2E">
      <w:pPr>
        <w:spacing w:after="0" w:line="240" w:lineRule="auto"/>
      </w:pPr>
      <w:r>
        <w:separator/>
      </w:r>
    </w:p>
  </w:footnote>
  <w:footnote w:type="continuationSeparator" w:id="0">
    <w:p w14:paraId="5232F80B" w14:textId="77777777" w:rsidR="00E02E93" w:rsidRDefault="00E02E93" w:rsidP="00E1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3766"/>
    <w:multiLevelType w:val="hybridMultilevel"/>
    <w:tmpl w:val="C9625984"/>
    <w:lvl w:ilvl="0" w:tplc="40264A32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31067"/>
    <w:multiLevelType w:val="multilevel"/>
    <w:tmpl w:val="98F0BE74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0D"/>
    <w:rsid w:val="00000ADF"/>
    <w:rsid w:val="00000C0B"/>
    <w:rsid w:val="00001E3B"/>
    <w:rsid w:val="00004F1B"/>
    <w:rsid w:val="000066EF"/>
    <w:rsid w:val="00014268"/>
    <w:rsid w:val="00021797"/>
    <w:rsid w:val="00021891"/>
    <w:rsid w:val="0002754D"/>
    <w:rsid w:val="00034BA3"/>
    <w:rsid w:val="00041662"/>
    <w:rsid w:val="00041ECB"/>
    <w:rsid w:val="00052FDD"/>
    <w:rsid w:val="00054853"/>
    <w:rsid w:val="00054D0F"/>
    <w:rsid w:val="000553C4"/>
    <w:rsid w:val="00061BE0"/>
    <w:rsid w:val="000628D2"/>
    <w:rsid w:val="00063BE7"/>
    <w:rsid w:val="00070E02"/>
    <w:rsid w:val="000730EC"/>
    <w:rsid w:val="0008245F"/>
    <w:rsid w:val="00083F45"/>
    <w:rsid w:val="00085258"/>
    <w:rsid w:val="000856CC"/>
    <w:rsid w:val="00085F7D"/>
    <w:rsid w:val="000865F5"/>
    <w:rsid w:val="0009218C"/>
    <w:rsid w:val="0009306F"/>
    <w:rsid w:val="00097FCF"/>
    <w:rsid w:val="000A4985"/>
    <w:rsid w:val="000A5229"/>
    <w:rsid w:val="000B4E31"/>
    <w:rsid w:val="000B5E4B"/>
    <w:rsid w:val="000B7AC8"/>
    <w:rsid w:val="000C06CA"/>
    <w:rsid w:val="000C0753"/>
    <w:rsid w:val="000C0BBB"/>
    <w:rsid w:val="000C1AF5"/>
    <w:rsid w:val="000C3E74"/>
    <w:rsid w:val="000C75FE"/>
    <w:rsid w:val="000D2DD5"/>
    <w:rsid w:val="000D5A19"/>
    <w:rsid w:val="000D624D"/>
    <w:rsid w:val="000D62E3"/>
    <w:rsid w:val="000E7EF1"/>
    <w:rsid w:val="000F4E0A"/>
    <w:rsid w:val="000F5623"/>
    <w:rsid w:val="000F69B2"/>
    <w:rsid w:val="00100387"/>
    <w:rsid w:val="00100F5E"/>
    <w:rsid w:val="0010303C"/>
    <w:rsid w:val="00103B80"/>
    <w:rsid w:val="0010788D"/>
    <w:rsid w:val="001116EE"/>
    <w:rsid w:val="001129E8"/>
    <w:rsid w:val="00123F80"/>
    <w:rsid w:val="00124310"/>
    <w:rsid w:val="001263CE"/>
    <w:rsid w:val="0013061E"/>
    <w:rsid w:val="001308EF"/>
    <w:rsid w:val="00133274"/>
    <w:rsid w:val="00146BE9"/>
    <w:rsid w:val="00153C3B"/>
    <w:rsid w:val="00156B75"/>
    <w:rsid w:val="001718F8"/>
    <w:rsid w:val="00174B64"/>
    <w:rsid w:val="00176E2E"/>
    <w:rsid w:val="00177F5E"/>
    <w:rsid w:val="0018672A"/>
    <w:rsid w:val="00196F71"/>
    <w:rsid w:val="001A1C26"/>
    <w:rsid w:val="001A2657"/>
    <w:rsid w:val="001A4F30"/>
    <w:rsid w:val="001A593E"/>
    <w:rsid w:val="001B56D8"/>
    <w:rsid w:val="001B6AFA"/>
    <w:rsid w:val="001C00B4"/>
    <w:rsid w:val="001C22A7"/>
    <w:rsid w:val="001C33DB"/>
    <w:rsid w:val="001C3858"/>
    <w:rsid w:val="001C7AAA"/>
    <w:rsid w:val="001D155A"/>
    <w:rsid w:val="001D4B3A"/>
    <w:rsid w:val="001D7B12"/>
    <w:rsid w:val="001E43C0"/>
    <w:rsid w:val="001E6736"/>
    <w:rsid w:val="001F0E35"/>
    <w:rsid w:val="001F38E1"/>
    <w:rsid w:val="001F3A82"/>
    <w:rsid w:val="001F7862"/>
    <w:rsid w:val="00201195"/>
    <w:rsid w:val="0020175F"/>
    <w:rsid w:val="00207639"/>
    <w:rsid w:val="002108DB"/>
    <w:rsid w:val="00226F24"/>
    <w:rsid w:val="00227D0D"/>
    <w:rsid w:val="00232C65"/>
    <w:rsid w:val="002352AB"/>
    <w:rsid w:val="00237601"/>
    <w:rsid w:val="00247E6E"/>
    <w:rsid w:val="00250683"/>
    <w:rsid w:val="00256956"/>
    <w:rsid w:val="002602B8"/>
    <w:rsid w:val="002640FD"/>
    <w:rsid w:val="002708F1"/>
    <w:rsid w:val="0027474F"/>
    <w:rsid w:val="00280713"/>
    <w:rsid w:val="00281260"/>
    <w:rsid w:val="00284255"/>
    <w:rsid w:val="00290E66"/>
    <w:rsid w:val="00295934"/>
    <w:rsid w:val="00297997"/>
    <w:rsid w:val="002A2E95"/>
    <w:rsid w:val="002A5B97"/>
    <w:rsid w:val="002B0E36"/>
    <w:rsid w:val="002B53EC"/>
    <w:rsid w:val="002C2173"/>
    <w:rsid w:val="002D4F4C"/>
    <w:rsid w:val="002E1779"/>
    <w:rsid w:val="002E19A5"/>
    <w:rsid w:val="002E4830"/>
    <w:rsid w:val="003118CA"/>
    <w:rsid w:val="003157CD"/>
    <w:rsid w:val="003319FB"/>
    <w:rsid w:val="00332E06"/>
    <w:rsid w:val="00343558"/>
    <w:rsid w:val="0035049B"/>
    <w:rsid w:val="00350B1B"/>
    <w:rsid w:val="00351F54"/>
    <w:rsid w:val="003559D9"/>
    <w:rsid w:val="00366C8A"/>
    <w:rsid w:val="003679A5"/>
    <w:rsid w:val="00371789"/>
    <w:rsid w:val="00376B63"/>
    <w:rsid w:val="0038036B"/>
    <w:rsid w:val="0038075C"/>
    <w:rsid w:val="0038791B"/>
    <w:rsid w:val="003948EC"/>
    <w:rsid w:val="0039497C"/>
    <w:rsid w:val="003A3E1E"/>
    <w:rsid w:val="003A585E"/>
    <w:rsid w:val="003B0601"/>
    <w:rsid w:val="003B08A9"/>
    <w:rsid w:val="003B7797"/>
    <w:rsid w:val="003C1117"/>
    <w:rsid w:val="003C6325"/>
    <w:rsid w:val="003C6D9C"/>
    <w:rsid w:val="003D42DA"/>
    <w:rsid w:val="003D6046"/>
    <w:rsid w:val="003E0106"/>
    <w:rsid w:val="003E3612"/>
    <w:rsid w:val="003F1040"/>
    <w:rsid w:val="003F2DE2"/>
    <w:rsid w:val="003F3776"/>
    <w:rsid w:val="003F39EE"/>
    <w:rsid w:val="003F6C86"/>
    <w:rsid w:val="00400E4D"/>
    <w:rsid w:val="004017C7"/>
    <w:rsid w:val="00405F3E"/>
    <w:rsid w:val="004133DB"/>
    <w:rsid w:val="0041472A"/>
    <w:rsid w:val="004242BC"/>
    <w:rsid w:val="00427A30"/>
    <w:rsid w:val="004348DB"/>
    <w:rsid w:val="00450AE5"/>
    <w:rsid w:val="0045327B"/>
    <w:rsid w:val="00456748"/>
    <w:rsid w:val="004573F6"/>
    <w:rsid w:val="004612B6"/>
    <w:rsid w:val="004621A3"/>
    <w:rsid w:val="00465CC2"/>
    <w:rsid w:val="004849B2"/>
    <w:rsid w:val="004870EF"/>
    <w:rsid w:val="004A1AD9"/>
    <w:rsid w:val="004B30D6"/>
    <w:rsid w:val="004B4866"/>
    <w:rsid w:val="004B4A24"/>
    <w:rsid w:val="004C3135"/>
    <w:rsid w:val="004C5213"/>
    <w:rsid w:val="004F1B67"/>
    <w:rsid w:val="004F2FD3"/>
    <w:rsid w:val="004F4A8C"/>
    <w:rsid w:val="004F5C80"/>
    <w:rsid w:val="004F6D71"/>
    <w:rsid w:val="0050732E"/>
    <w:rsid w:val="0051006A"/>
    <w:rsid w:val="00512EF5"/>
    <w:rsid w:val="0052158E"/>
    <w:rsid w:val="00531EDA"/>
    <w:rsid w:val="005354BB"/>
    <w:rsid w:val="00541242"/>
    <w:rsid w:val="00541FAE"/>
    <w:rsid w:val="0054293E"/>
    <w:rsid w:val="00547F1F"/>
    <w:rsid w:val="00550214"/>
    <w:rsid w:val="005558EC"/>
    <w:rsid w:val="0056264C"/>
    <w:rsid w:val="0056324E"/>
    <w:rsid w:val="00574666"/>
    <w:rsid w:val="005746F9"/>
    <w:rsid w:val="00575D27"/>
    <w:rsid w:val="00580BB6"/>
    <w:rsid w:val="0058648C"/>
    <w:rsid w:val="00591972"/>
    <w:rsid w:val="005939E6"/>
    <w:rsid w:val="005A4571"/>
    <w:rsid w:val="005A65BB"/>
    <w:rsid w:val="005B2D4E"/>
    <w:rsid w:val="005B6A8F"/>
    <w:rsid w:val="005D38C3"/>
    <w:rsid w:val="005D64F3"/>
    <w:rsid w:val="005D7F54"/>
    <w:rsid w:val="005E3389"/>
    <w:rsid w:val="005F79D5"/>
    <w:rsid w:val="0060038F"/>
    <w:rsid w:val="0060666A"/>
    <w:rsid w:val="0061705E"/>
    <w:rsid w:val="0062626B"/>
    <w:rsid w:val="0062766D"/>
    <w:rsid w:val="00627F5F"/>
    <w:rsid w:val="006569FC"/>
    <w:rsid w:val="006647A2"/>
    <w:rsid w:val="00665458"/>
    <w:rsid w:val="0066560D"/>
    <w:rsid w:val="00666300"/>
    <w:rsid w:val="0067315D"/>
    <w:rsid w:val="00682A9C"/>
    <w:rsid w:val="006846E5"/>
    <w:rsid w:val="0068476B"/>
    <w:rsid w:val="00684F3B"/>
    <w:rsid w:val="00695DCB"/>
    <w:rsid w:val="006A009E"/>
    <w:rsid w:val="006A0AE1"/>
    <w:rsid w:val="006A1B84"/>
    <w:rsid w:val="006B58D9"/>
    <w:rsid w:val="006C1B45"/>
    <w:rsid w:val="006C37B4"/>
    <w:rsid w:val="006C4F80"/>
    <w:rsid w:val="006D3493"/>
    <w:rsid w:val="006D67A3"/>
    <w:rsid w:val="006E2D3C"/>
    <w:rsid w:val="006E7D48"/>
    <w:rsid w:val="006F0279"/>
    <w:rsid w:val="006F09E6"/>
    <w:rsid w:val="006F1570"/>
    <w:rsid w:val="006F7FE7"/>
    <w:rsid w:val="0071225F"/>
    <w:rsid w:val="007130E9"/>
    <w:rsid w:val="00715AD4"/>
    <w:rsid w:val="007205C1"/>
    <w:rsid w:val="00725C6D"/>
    <w:rsid w:val="00731CC1"/>
    <w:rsid w:val="00731EAB"/>
    <w:rsid w:val="00743777"/>
    <w:rsid w:val="00744F11"/>
    <w:rsid w:val="00747729"/>
    <w:rsid w:val="0075024F"/>
    <w:rsid w:val="00751336"/>
    <w:rsid w:val="007625D4"/>
    <w:rsid w:val="00762660"/>
    <w:rsid w:val="007777E4"/>
    <w:rsid w:val="007778C4"/>
    <w:rsid w:val="00783422"/>
    <w:rsid w:val="007852DD"/>
    <w:rsid w:val="007864A5"/>
    <w:rsid w:val="007909EA"/>
    <w:rsid w:val="007A079F"/>
    <w:rsid w:val="007A26D7"/>
    <w:rsid w:val="007A373E"/>
    <w:rsid w:val="007A37D7"/>
    <w:rsid w:val="007A4E7C"/>
    <w:rsid w:val="007B10C7"/>
    <w:rsid w:val="007B42F8"/>
    <w:rsid w:val="007B5243"/>
    <w:rsid w:val="007C3293"/>
    <w:rsid w:val="007C3F48"/>
    <w:rsid w:val="007D0062"/>
    <w:rsid w:val="007D7A10"/>
    <w:rsid w:val="007E634D"/>
    <w:rsid w:val="007E7ED8"/>
    <w:rsid w:val="007F1364"/>
    <w:rsid w:val="007F6CB2"/>
    <w:rsid w:val="008001EE"/>
    <w:rsid w:val="00800407"/>
    <w:rsid w:val="008079A5"/>
    <w:rsid w:val="008142AF"/>
    <w:rsid w:val="00817B56"/>
    <w:rsid w:val="00823691"/>
    <w:rsid w:val="008242EB"/>
    <w:rsid w:val="008257E2"/>
    <w:rsid w:val="00825D8E"/>
    <w:rsid w:val="008364BB"/>
    <w:rsid w:val="0083656B"/>
    <w:rsid w:val="008367B4"/>
    <w:rsid w:val="00837804"/>
    <w:rsid w:val="008436B2"/>
    <w:rsid w:val="00846DB9"/>
    <w:rsid w:val="008518C1"/>
    <w:rsid w:val="008521CB"/>
    <w:rsid w:val="00853D2A"/>
    <w:rsid w:val="00855D83"/>
    <w:rsid w:val="00856B63"/>
    <w:rsid w:val="008628FA"/>
    <w:rsid w:val="008652D0"/>
    <w:rsid w:val="00866848"/>
    <w:rsid w:val="0087506A"/>
    <w:rsid w:val="00876EB1"/>
    <w:rsid w:val="00880DCB"/>
    <w:rsid w:val="00882F55"/>
    <w:rsid w:val="00887EEC"/>
    <w:rsid w:val="00893D7C"/>
    <w:rsid w:val="00894A78"/>
    <w:rsid w:val="00895006"/>
    <w:rsid w:val="008A0C1A"/>
    <w:rsid w:val="008A2C24"/>
    <w:rsid w:val="008A34A9"/>
    <w:rsid w:val="008B0E4D"/>
    <w:rsid w:val="008B1BD7"/>
    <w:rsid w:val="008B5854"/>
    <w:rsid w:val="008B58A4"/>
    <w:rsid w:val="008C0050"/>
    <w:rsid w:val="008C0BF3"/>
    <w:rsid w:val="008C0ED8"/>
    <w:rsid w:val="008C3674"/>
    <w:rsid w:val="008C5E99"/>
    <w:rsid w:val="008D176B"/>
    <w:rsid w:val="008D67BE"/>
    <w:rsid w:val="008D7614"/>
    <w:rsid w:val="008E1A69"/>
    <w:rsid w:val="008E59D7"/>
    <w:rsid w:val="008F0EFA"/>
    <w:rsid w:val="008F1B24"/>
    <w:rsid w:val="008F63D0"/>
    <w:rsid w:val="00903888"/>
    <w:rsid w:val="00905399"/>
    <w:rsid w:val="00912FE1"/>
    <w:rsid w:val="0091624F"/>
    <w:rsid w:val="009203F4"/>
    <w:rsid w:val="00925736"/>
    <w:rsid w:val="00926776"/>
    <w:rsid w:val="009365C4"/>
    <w:rsid w:val="00937E14"/>
    <w:rsid w:val="009465C2"/>
    <w:rsid w:val="00946A99"/>
    <w:rsid w:val="009559CA"/>
    <w:rsid w:val="0095620B"/>
    <w:rsid w:val="00956929"/>
    <w:rsid w:val="00957140"/>
    <w:rsid w:val="009632CD"/>
    <w:rsid w:val="00966CAF"/>
    <w:rsid w:val="00971740"/>
    <w:rsid w:val="00971A4A"/>
    <w:rsid w:val="00971FEA"/>
    <w:rsid w:val="009731FD"/>
    <w:rsid w:val="009778D8"/>
    <w:rsid w:val="00977A6A"/>
    <w:rsid w:val="00981A27"/>
    <w:rsid w:val="00985618"/>
    <w:rsid w:val="009959E3"/>
    <w:rsid w:val="009B057E"/>
    <w:rsid w:val="009B3BEC"/>
    <w:rsid w:val="009B45ED"/>
    <w:rsid w:val="009B6814"/>
    <w:rsid w:val="009C375C"/>
    <w:rsid w:val="009D6181"/>
    <w:rsid w:val="009D73D8"/>
    <w:rsid w:val="009E006E"/>
    <w:rsid w:val="009E127F"/>
    <w:rsid w:val="009E2FA6"/>
    <w:rsid w:val="009E7692"/>
    <w:rsid w:val="009F66D3"/>
    <w:rsid w:val="00A064D1"/>
    <w:rsid w:val="00A14B52"/>
    <w:rsid w:val="00A16CB1"/>
    <w:rsid w:val="00A17C73"/>
    <w:rsid w:val="00A21FD3"/>
    <w:rsid w:val="00A23879"/>
    <w:rsid w:val="00A26512"/>
    <w:rsid w:val="00A3080C"/>
    <w:rsid w:val="00A4515E"/>
    <w:rsid w:val="00A519BA"/>
    <w:rsid w:val="00A60A6E"/>
    <w:rsid w:val="00A60B9B"/>
    <w:rsid w:val="00A70492"/>
    <w:rsid w:val="00A70D78"/>
    <w:rsid w:val="00A76FC2"/>
    <w:rsid w:val="00A95913"/>
    <w:rsid w:val="00AA01F9"/>
    <w:rsid w:val="00AA1C03"/>
    <w:rsid w:val="00AB1FB8"/>
    <w:rsid w:val="00AB4973"/>
    <w:rsid w:val="00AB5592"/>
    <w:rsid w:val="00AB7894"/>
    <w:rsid w:val="00AB78AC"/>
    <w:rsid w:val="00AC1A21"/>
    <w:rsid w:val="00AC3A9E"/>
    <w:rsid w:val="00AC496F"/>
    <w:rsid w:val="00AC5108"/>
    <w:rsid w:val="00AD14AB"/>
    <w:rsid w:val="00AD2419"/>
    <w:rsid w:val="00AD7F48"/>
    <w:rsid w:val="00AF3AFF"/>
    <w:rsid w:val="00AF7B78"/>
    <w:rsid w:val="00B027C5"/>
    <w:rsid w:val="00B02D25"/>
    <w:rsid w:val="00B02F92"/>
    <w:rsid w:val="00B13C6C"/>
    <w:rsid w:val="00B1460D"/>
    <w:rsid w:val="00B14864"/>
    <w:rsid w:val="00B14C45"/>
    <w:rsid w:val="00B152DF"/>
    <w:rsid w:val="00B15FB3"/>
    <w:rsid w:val="00B20F0A"/>
    <w:rsid w:val="00B20FB9"/>
    <w:rsid w:val="00B241E1"/>
    <w:rsid w:val="00B30ED1"/>
    <w:rsid w:val="00B31629"/>
    <w:rsid w:val="00B3162F"/>
    <w:rsid w:val="00B33CDC"/>
    <w:rsid w:val="00B419D8"/>
    <w:rsid w:val="00B421E7"/>
    <w:rsid w:val="00B42813"/>
    <w:rsid w:val="00B43352"/>
    <w:rsid w:val="00B4386E"/>
    <w:rsid w:val="00B45034"/>
    <w:rsid w:val="00B46B6D"/>
    <w:rsid w:val="00B47484"/>
    <w:rsid w:val="00B53743"/>
    <w:rsid w:val="00B63FBC"/>
    <w:rsid w:val="00B66A9F"/>
    <w:rsid w:val="00B67B3B"/>
    <w:rsid w:val="00B7006E"/>
    <w:rsid w:val="00B74F36"/>
    <w:rsid w:val="00B76565"/>
    <w:rsid w:val="00B843AC"/>
    <w:rsid w:val="00B86256"/>
    <w:rsid w:val="00B9250B"/>
    <w:rsid w:val="00B93253"/>
    <w:rsid w:val="00B93846"/>
    <w:rsid w:val="00BA19F9"/>
    <w:rsid w:val="00BB04A6"/>
    <w:rsid w:val="00BB1043"/>
    <w:rsid w:val="00BB2E20"/>
    <w:rsid w:val="00BB3D0C"/>
    <w:rsid w:val="00BB50A5"/>
    <w:rsid w:val="00BC585C"/>
    <w:rsid w:val="00BC7BEA"/>
    <w:rsid w:val="00BD1467"/>
    <w:rsid w:val="00BD2D89"/>
    <w:rsid w:val="00BD624D"/>
    <w:rsid w:val="00BE0A64"/>
    <w:rsid w:val="00BE2E07"/>
    <w:rsid w:val="00BE59F7"/>
    <w:rsid w:val="00BE6807"/>
    <w:rsid w:val="00BE7192"/>
    <w:rsid w:val="00BE78CE"/>
    <w:rsid w:val="00BF025C"/>
    <w:rsid w:val="00BF12FD"/>
    <w:rsid w:val="00BF5EB7"/>
    <w:rsid w:val="00C053EE"/>
    <w:rsid w:val="00C0570A"/>
    <w:rsid w:val="00C10F06"/>
    <w:rsid w:val="00C158C1"/>
    <w:rsid w:val="00C179F4"/>
    <w:rsid w:val="00C305DD"/>
    <w:rsid w:val="00C310E2"/>
    <w:rsid w:val="00C325AB"/>
    <w:rsid w:val="00C41774"/>
    <w:rsid w:val="00C45497"/>
    <w:rsid w:val="00C56C34"/>
    <w:rsid w:val="00C604A4"/>
    <w:rsid w:val="00C667B6"/>
    <w:rsid w:val="00C71151"/>
    <w:rsid w:val="00C73E8D"/>
    <w:rsid w:val="00C85686"/>
    <w:rsid w:val="00C91237"/>
    <w:rsid w:val="00C94A79"/>
    <w:rsid w:val="00CA50A4"/>
    <w:rsid w:val="00CB3100"/>
    <w:rsid w:val="00CC4F8C"/>
    <w:rsid w:val="00CC5F43"/>
    <w:rsid w:val="00CC7119"/>
    <w:rsid w:val="00CD053D"/>
    <w:rsid w:val="00CE6A22"/>
    <w:rsid w:val="00CE71EA"/>
    <w:rsid w:val="00CF1F5D"/>
    <w:rsid w:val="00CF2A18"/>
    <w:rsid w:val="00CF4533"/>
    <w:rsid w:val="00CF77F3"/>
    <w:rsid w:val="00D009AB"/>
    <w:rsid w:val="00D12E74"/>
    <w:rsid w:val="00D175FA"/>
    <w:rsid w:val="00D26407"/>
    <w:rsid w:val="00D26A01"/>
    <w:rsid w:val="00D26E64"/>
    <w:rsid w:val="00D31303"/>
    <w:rsid w:val="00D323E0"/>
    <w:rsid w:val="00D3334A"/>
    <w:rsid w:val="00D3430D"/>
    <w:rsid w:val="00D35DF5"/>
    <w:rsid w:val="00D41335"/>
    <w:rsid w:val="00D43A2B"/>
    <w:rsid w:val="00D451BD"/>
    <w:rsid w:val="00D50C1D"/>
    <w:rsid w:val="00D62AD8"/>
    <w:rsid w:val="00D705C8"/>
    <w:rsid w:val="00D72D51"/>
    <w:rsid w:val="00D760E8"/>
    <w:rsid w:val="00D77B74"/>
    <w:rsid w:val="00D802C1"/>
    <w:rsid w:val="00D951C8"/>
    <w:rsid w:val="00DA0ABE"/>
    <w:rsid w:val="00DA0AC3"/>
    <w:rsid w:val="00DA12AD"/>
    <w:rsid w:val="00DA6789"/>
    <w:rsid w:val="00DB0417"/>
    <w:rsid w:val="00DB0B82"/>
    <w:rsid w:val="00DB3F5C"/>
    <w:rsid w:val="00DC3209"/>
    <w:rsid w:val="00DC38BE"/>
    <w:rsid w:val="00DC4841"/>
    <w:rsid w:val="00DD1D59"/>
    <w:rsid w:val="00DD20C0"/>
    <w:rsid w:val="00DD34D0"/>
    <w:rsid w:val="00DD437E"/>
    <w:rsid w:val="00DE63EB"/>
    <w:rsid w:val="00DF0028"/>
    <w:rsid w:val="00DF2B01"/>
    <w:rsid w:val="00DF4DA6"/>
    <w:rsid w:val="00E0124A"/>
    <w:rsid w:val="00E02084"/>
    <w:rsid w:val="00E02E93"/>
    <w:rsid w:val="00E05505"/>
    <w:rsid w:val="00E12E0E"/>
    <w:rsid w:val="00E13733"/>
    <w:rsid w:val="00E13782"/>
    <w:rsid w:val="00E13F2E"/>
    <w:rsid w:val="00E145C4"/>
    <w:rsid w:val="00E155BF"/>
    <w:rsid w:val="00E1672A"/>
    <w:rsid w:val="00E16751"/>
    <w:rsid w:val="00E237A9"/>
    <w:rsid w:val="00E311E8"/>
    <w:rsid w:val="00E31ADD"/>
    <w:rsid w:val="00E41B64"/>
    <w:rsid w:val="00E433F3"/>
    <w:rsid w:val="00E4365F"/>
    <w:rsid w:val="00E45C37"/>
    <w:rsid w:val="00E603DE"/>
    <w:rsid w:val="00E6090E"/>
    <w:rsid w:val="00E6141D"/>
    <w:rsid w:val="00E61F78"/>
    <w:rsid w:val="00E63426"/>
    <w:rsid w:val="00E714B9"/>
    <w:rsid w:val="00E8085B"/>
    <w:rsid w:val="00E90E26"/>
    <w:rsid w:val="00E92CBC"/>
    <w:rsid w:val="00E945BC"/>
    <w:rsid w:val="00E97518"/>
    <w:rsid w:val="00EA1060"/>
    <w:rsid w:val="00EA1262"/>
    <w:rsid w:val="00EA21B7"/>
    <w:rsid w:val="00EA7725"/>
    <w:rsid w:val="00EB7BBE"/>
    <w:rsid w:val="00EC1C59"/>
    <w:rsid w:val="00EC296D"/>
    <w:rsid w:val="00EC2A56"/>
    <w:rsid w:val="00EC3F0A"/>
    <w:rsid w:val="00EC65D5"/>
    <w:rsid w:val="00ED2272"/>
    <w:rsid w:val="00ED2C24"/>
    <w:rsid w:val="00ED3FCE"/>
    <w:rsid w:val="00EE0F94"/>
    <w:rsid w:val="00EE3149"/>
    <w:rsid w:val="00EE4E2B"/>
    <w:rsid w:val="00EF5778"/>
    <w:rsid w:val="00F014D1"/>
    <w:rsid w:val="00F04E38"/>
    <w:rsid w:val="00F12BEF"/>
    <w:rsid w:val="00F1665E"/>
    <w:rsid w:val="00F17452"/>
    <w:rsid w:val="00F30347"/>
    <w:rsid w:val="00F305D1"/>
    <w:rsid w:val="00F35496"/>
    <w:rsid w:val="00F3699C"/>
    <w:rsid w:val="00F46BAC"/>
    <w:rsid w:val="00F52F3A"/>
    <w:rsid w:val="00F5580C"/>
    <w:rsid w:val="00F5713F"/>
    <w:rsid w:val="00F618EE"/>
    <w:rsid w:val="00F64C99"/>
    <w:rsid w:val="00F71423"/>
    <w:rsid w:val="00F71C21"/>
    <w:rsid w:val="00F72105"/>
    <w:rsid w:val="00F743E5"/>
    <w:rsid w:val="00F74589"/>
    <w:rsid w:val="00F76618"/>
    <w:rsid w:val="00F8099E"/>
    <w:rsid w:val="00F8370E"/>
    <w:rsid w:val="00F8638A"/>
    <w:rsid w:val="00F9037A"/>
    <w:rsid w:val="00F94F8E"/>
    <w:rsid w:val="00F9510E"/>
    <w:rsid w:val="00FB3C0B"/>
    <w:rsid w:val="00FC02C1"/>
    <w:rsid w:val="00FC1F8A"/>
    <w:rsid w:val="00FC2A52"/>
    <w:rsid w:val="00FC492D"/>
    <w:rsid w:val="00FD457E"/>
    <w:rsid w:val="00FD58D8"/>
    <w:rsid w:val="00FD7C07"/>
    <w:rsid w:val="00FE183F"/>
    <w:rsid w:val="00FE2413"/>
    <w:rsid w:val="00FE2913"/>
    <w:rsid w:val="00FF3898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8F0964F"/>
  <w15:chartTrackingRefBased/>
  <w15:docId w15:val="{357F0C5B-D1F7-41F6-843F-8A33F46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2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2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7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A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61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59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E7D48"/>
    <w:rPr>
      <w:i/>
      <w:iCs/>
    </w:rPr>
  </w:style>
  <w:style w:type="paragraph" w:styleId="Revision">
    <w:name w:val="Revision"/>
    <w:hidden/>
    <w:uiPriority w:val="99"/>
    <w:semiHidden/>
    <w:rsid w:val="007852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F2E"/>
  </w:style>
  <w:style w:type="paragraph" w:styleId="Footer">
    <w:name w:val="footer"/>
    <w:basedOn w:val="Normal"/>
    <w:link w:val="FooterChar"/>
    <w:uiPriority w:val="99"/>
    <w:unhideWhenUsed/>
    <w:rsid w:val="00E1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F2E"/>
  </w:style>
  <w:style w:type="character" w:styleId="UnresolvedMention">
    <w:name w:val="Unresolved Mention"/>
    <w:basedOn w:val="DefaultParagraphFont"/>
    <w:uiPriority w:val="99"/>
    <w:semiHidden/>
    <w:unhideWhenUsed/>
    <w:rsid w:val="00B4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yperlink" Target="https://doi.org/10.1111/cobi.12158" TargetMode="External"/><Relationship Id="rId26" Type="http://schemas.openxmlformats.org/officeDocument/2006/relationships/hyperlink" Target="http://www.statssa.gov.z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93/jee/tov16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doi.org/10.1016/j.ecoser.2012.07.005" TargetMode="External"/><Relationship Id="rId25" Type="http://schemas.openxmlformats.org/officeDocument/2006/relationships/hyperlink" Target="http://www.statssa.gov.za/?p=9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ocecoaman.2009.10.008" TargetMode="External"/><Relationship Id="rId20" Type="http://schemas.openxmlformats.org/officeDocument/2006/relationships/hyperlink" Target="https://za.investing.com/currenci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s://doi.org/10.1016/j.ufug.2010.12.0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yperlink" Target="http://saforestryonline.co.za/articles/harvesting_silviculture/harvesting_wattle_bark_the_ucl_way/" TargetMode="External"/><Relationship Id="rId28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www.freshplaza.com/article/2155043/south-africa-ramping-up-avocado-produc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hyperlink" Target="http://www.nctforest.com/upload/Publications/News%20n%20Views%20April%202014%20electronic.pdf" TargetMode="External"/><Relationship Id="rId27" Type="http://schemas.openxmlformats.org/officeDocument/2006/relationships/hyperlink" Target="https://doi.org/10.1016/j.ecoser.2017.07.0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7689839-2CD8-1141-B3AE-E0EB51BF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Wit, Martin [mdewit@spl.sun.ac.za]</cp:lastModifiedBy>
  <cp:revision>2</cp:revision>
  <dcterms:created xsi:type="dcterms:W3CDTF">2021-01-20T08:08:00Z</dcterms:created>
  <dcterms:modified xsi:type="dcterms:W3CDTF">2021-01-20T08:08:00Z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http://www.zotero.org/styles/acs-sustainable-chemistry-and-engineering</vt:lpwstr>
  </property>
  <property fmtid="{D5CDD505-2E9C-101B-9397-08002B2CF9AE}" pid="3" name="Mendeley Recent Style Name 0_1">
    <vt:lpwstr>ACS Sustainable Chemistry &amp; Engineering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http://www.zotero.org/styles/biological-invasions</vt:lpwstr>
  </property>
  <property fmtid="{D5CDD505-2E9C-101B-9397-08002B2CF9AE}" pid="13" name="Mendeley Recent Style Name 5_1">
    <vt:lpwstr>Biological Invasions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http://www.zotero.org/styles/sustainability</vt:lpwstr>
  </property>
  <property fmtid="{D5CDD505-2E9C-101B-9397-08002B2CF9AE}" pid="21" name="Mendeley Recent Style Name 9_1">
    <vt:lpwstr>Sustainability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ce659bbc-9b98-3487-a897-0926d5d9d855</vt:lpwstr>
  </property>
  <property fmtid="{D5CDD505-2E9C-101B-9397-08002B2CF9AE}" pid="24" name="Mendeley Citation Style_1">
    <vt:lpwstr>http://www.zotero.org/styles/biological-invasions</vt:lpwstr>
  </property>
</Properties>
</file>