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D2AF" w14:textId="65E7D992" w:rsidR="00862C66" w:rsidRDefault="00862C66">
      <w:r>
        <w:t xml:space="preserve">Supplemental Digital Content </w:t>
      </w:r>
      <w:r w:rsidR="008B4F80">
        <w:t>3</w:t>
      </w:r>
    </w:p>
    <w:tbl>
      <w:tblPr>
        <w:tblStyle w:val="TableGrid"/>
        <w:tblpPr w:leftFromText="180" w:rightFromText="180" w:vertAnchor="page" w:horzAnchor="margin" w:tblpY="2518"/>
        <w:tblW w:w="0" w:type="auto"/>
        <w:tblLook w:val="04A0" w:firstRow="1" w:lastRow="0" w:firstColumn="1" w:lastColumn="0" w:noHBand="0" w:noVBand="1"/>
      </w:tblPr>
      <w:tblGrid>
        <w:gridCol w:w="4648"/>
        <w:gridCol w:w="4362"/>
      </w:tblGrid>
      <w:tr w:rsidR="00862C66" w14:paraId="41F49658" w14:textId="77777777" w:rsidTr="00862C66">
        <w:tc>
          <w:tcPr>
            <w:tcW w:w="4648" w:type="dxa"/>
          </w:tcPr>
          <w:p w14:paraId="3C3EF159" w14:textId="77777777" w:rsidR="00862C66" w:rsidRDefault="00862C66" w:rsidP="00862C66">
            <w:r w:rsidRPr="0069163D">
              <w:rPr>
                <w:noProof/>
              </w:rPr>
              <w:drawing>
                <wp:inline distT="0" distB="0" distL="0" distR="0" wp14:anchorId="02C7F097" wp14:editId="4B658109">
                  <wp:extent cx="2727628" cy="20270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205" cy="206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DB4A1" w14:textId="77777777" w:rsidR="00862C66" w:rsidRDefault="00862C66" w:rsidP="00862C66">
            <w:r>
              <w:t>A</w:t>
            </w:r>
          </w:p>
        </w:tc>
        <w:tc>
          <w:tcPr>
            <w:tcW w:w="4362" w:type="dxa"/>
          </w:tcPr>
          <w:p w14:paraId="69C76166" w14:textId="77777777" w:rsidR="00862C66" w:rsidRDefault="00862C66" w:rsidP="00862C66">
            <w:r w:rsidRPr="0069163D">
              <w:rPr>
                <w:noProof/>
              </w:rPr>
              <w:drawing>
                <wp:inline distT="0" distB="0" distL="0" distR="0" wp14:anchorId="1014083F" wp14:editId="6B8D186C">
                  <wp:extent cx="2266122" cy="20718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064" cy="209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068E3" w14:textId="77777777" w:rsidR="00862C66" w:rsidRDefault="00862C66" w:rsidP="00862C66">
            <w:r>
              <w:t>B</w:t>
            </w:r>
          </w:p>
        </w:tc>
      </w:tr>
      <w:tr w:rsidR="00862C66" w14:paraId="30E98825" w14:textId="77777777" w:rsidTr="00862C66">
        <w:tc>
          <w:tcPr>
            <w:tcW w:w="4648" w:type="dxa"/>
          </w:tcPr>
          <w:p w14:paraId="5F388B8D" w14:textId="77777777" w:rsidR="00862C66" w:rsidRDefault="00862C66" w:rsidP="00862C66">
            <w:r w:rsidRPr="0069163D">
              <w:rPr>
                <w:noProof/>
              </w:rPr>
              <w:drawing>
                <wp:inline distT="0" distB="0" distL="0" distR="0" wp14:anchorId="1EEEE8A3" wp14:editId="4E5F835D">
                  <wp:extent cx="2633180" cy="24074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042" cy="241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E9B68" w14:textId="77777777" w:rsidR="00862C66" w:rsidRDefault="00862C66" w:rsidP="00862C66">
            <w:r>
              <w:t>C</w:t>
            </w:r>
          </w:p>
        </w:tc>
        <w:tc>
          <w:tcPr>
            <w:tcW w:w="4362" w:type="dxa"/>
          </w:tcPr>
          <w:p w14:paraId="3DACAFEF" w14:textId="77777777" w:rsidR="00862C66" w:rsidRDefault="00862C66" w:rsidP="00862C66">
            <w:r w:rsidRPr="0069163D">
              <w:rPr>
                <w:noProof/>
              </w:rPr>
              <w:drawing>
                <wp:inline distT="0" distB="0" distL="0" distR="0" wp14:anchorId="413F71EF" wp14:editId="3A02ADEC">
                  <wp:extent cx="2632968" cy="24072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498" cy="241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644C9" w14:textId="77777777" w:rsidR="00862C66" w:rsidRDefault="00862C66" w:rsidP="00862C66">
            <w:r>
              <w:t>D</w:t>
            </w:r>
          </w:p>
        </w:tc>
      </w:tr>
      <w:tr w:rsidR="00862C66" w14:paraId="06743C44" w14:textId="77777777" w:rsidTr="00862C66">
        <w:tc>
          <w:tcPr>
            <w:tcW w:w="4648" w:type="dxa"/>
          </w:tcPr>
          <w:p w14:paraId="0A18C4F8" w14:textId="77777777" w:rsidR="00862C66" w:rsidRDefault="00862C66" w:rsidP="00862C66">
            <w:r w:rsidRPr="0069163D">
              <w:rPr>
                <w:noProof/>
              </w:rPr>
              <w:drawing>
                <wp:inline distT="0" distB="0" distL="0" distR="0" wp14:anchorId="13D7173F" wp14:editId="3DA37D91">
                  <wp:extent cx="2650573" cy="24233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13" cy="243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9032E" w14:textId="77777777" w:rsidR="00862C66" w:rsidRDefault="00862C66" w:rsidP="00862C66">
            <w:r>
              <w:t>E</w:t>
            </w:r>
          </w:p>
        </w:tc>
        <w:tc>
          <w:tcPr>
            <w:tcW w:w="4362" w:type="dxa"/>
          </w:tcPr>
          <w:p w14:paraId="530BF88A" w14:textId="77777777" w:rsidR="00862C66" w:rsidRDefault="00862C66" w:rsidP="00862C66">
            <w:r w:rsidRPr="0069163D">
              <w:rPr>
                <w:noProof/>
              </w:rPr>
              <w:drawing>
                <wp:inline distT="0" distB="0" distL="0" distR="0" wp14:anchorId="4414E790" wp14:editId="71044884">
                  <wp:extent cx="2539448" cy="23217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337" cy="233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AB7A7" w14:textId="77777777" w:rsidR="00862C66" w:rsidRDefault="00862C66" w:rsidP="00862C66">
            <w:r>
              <w:t>F</w:t>
            </w:r>
          </w:p>
        </w:tc>
      </w:tr>
      <w:tr w:rsidR="00862C66" w14:paraId="7E0AE389" w14:textId="77777777" w:rsidTr="00862C66">
        <w:tc>
          <w:tcPr>
            <w:tcW w:w="9010" w:type="dxa"/>
            <w:gridSpan w:val="2"/>
          </w:tcPr>
          <w:p w14:paraId="3438B1D4" w14:textId="5C67D7B7" w:rsidR="00862C66" w:rsidRDefault="00862C66" w:rsidP="00862C66">
            <w:r w:rsidRPr="009C295D">
              <w:rPr>
                <w:b/>
              </w:rPr>
              <w:t>Figure S2: Expression of tight junction proteins in response to cell-free bacterial supernatants.</w:t>
            </w:r>
            <w:r>
              <w:t xml:space="preserve"> </w:t>
            </w:r>
            <w:r w:rsidRPr="001664B8">
              <w:rPr>
                <w:b/>
              </w:rPr>
              <w:t>A</w:t>
            </w:r>
            <w:r>
              <w:t xml:space="preserve"> shows the levels of junction proteins, claudin-4 and E-cadherin, in relation to beta tubulin as measured by western blot. Protein bands (not shown) were </w:t>
            </w:r>
            <w:r>
              <w:lastRenderedPageBreak/>
              <w:t xml:space="preserve">quantified by </w:t>
            </w:r>
            <w:r w:rsidRPr="004D1045">
              <w:rPr>
                <w:rFonts w:ascii="Arial" w:eastAsia="Times New Roman" w:hAnsi="Arial" w:cs="Arial"/>
              </w:rPr>
              <w:t>the gel analyzer tool in the Fiji distribution of ImageJ (version 1.52p)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Pr="00862C66">
              <w:rPr>
                <w:rFonts w:ascii="Arial" w:eastAsia="Times New Roman" w:hAnsi="Arial" w:cs="Arial"/>
                <w:b/>
              </w:rPr>
              <w:t>B-F</w:t>
            </w:r>
            <w:r>
              <w:rPr>
                <w:rFonts w:ascii="Arial" w:eastAsia="Times New Roman" w:hAnsi="Arial" w:cs="Arial"/>
              </w:rPr>
              <w:t xml:space="preserve"> show the change in mRNA levels of the tight junctions F11R, claudin-1 and 4, occludin and ZO-1 respectively, due to treatment of vaginal epithelial tissues with bacterial cell-free supernatant. LAB was </w:t>
            </w:r>
            <w:r w:rsidRPr="00862C66">
              <w:rPr>
                <w:rFonts w:ascii="Arial" w:eastAsia="Times New Roman" w:hAnsi="Arial" w:cs="Arial"/>
                <w:i/>
              </w:rPr>
              <w:t>L. iners</w:t>
            </w:r>
            <w:r>
              <w:rPr>
                <w:rFonts w:ascii="Arial" w:eastAsia="Times New Roman" w:hAnsi="Arial" w:cs="Arial"/>
              </w:rPr>
              <w:t xml:space="preserve"> and </w:t>
            </w:r>
            <w:r w:rsidRPr="00862C66">
              <w:rPr>
                <w:rFonts w:ascii="Arial" w:eastAsia="Times New Roman" w:hAnsi="Arial" w:cs="Arial"/>
                <w:i/>
              </w:rPr>
              <w:t>L. crispatus</w:t>
            </w:r>
            <w:r>
              <w:rPr>
                <w:rFonts w:ascii="Arial" w:eastAsia="Times New Roman" w:hAnsi="Arial" w:cs="Arial"/>
              </w:rPr>
              <w:t xml:space="preserve"> cell-free supernatant and non-LAB was </w:t>
            </w:r>
            <w:r w:rsidRPr="00862C66">
              <w:rPr>
                <w:rFonts w:ascii="Arial" w:eastAsia="Times New Roman" w:hAnsi="Arial" w:cs="Arial"/>
                <w:i/>
              </w:rPr>
              <w:t>G. vaginalis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r w:rsidR="00812655" w:rsidRPr="00812655">
              <w:rPr>
                <w:rFonts w:ascii="Arial" w:eastAsia="Times New Roman" w:hAnsi="Arial" w:cs="Arial"/>
              </w:rPr>
              <w:t>only</w:t>
            </w:r>
            <w:r w:rsidR="00812655">
              <w:rPr>
                <w:rFonts w:ascii="Arial" w:eastAsia="Times New Roman" w:hAnsi="Arial" w:cs="Arial"/>
                <w:i/>
              </w:rPr>
              <w:t xml:space="preserve"> </w:t>
            </w:r>
            <w:r w:rsidRPr="00862C66">
              <w:rPr>
                <w:rFonts w:ascii="Arial" w:eastAsia="Times New Roman" w:hAnsi="Arial" w:cs="Arial"/>
              </w:rPr>
              <w:t xml:space="preserve">and </w:t>
            </w:r>
            <w:r w:rsidRPr="00862C66">
              <w:rPr>
                <w:rFonts w:ascii="Arial" w:eastAsia="Times New Roman" w:hAnsi="Arial" w:cs="Arial"/>
                <w:i/>
              </w:rPr>
              <w:t>G. vaginalis</w:t>
            </w:r>
            <w:r>
              <w:rPr>
                <w:rFonts w:ascii="Arial" w:eastAsia="Times New Roman" w:hAnsi="Arial" w:cs="Arial"/>
              </w:rPr>
              <w:t xml:space="preserve"> combined with either </w:t>
            </w:r>
            <w:r w:rsidRPr="00862C66">
              <w:rPr>
                <w:rFonts w:ascii="Arial" w:eastAsia="Times New Roman" w:hAnsi="Arial" w:cs="Arial"/>
                <w:i/>
              </w:rPr>
              <w:t>L. iners</w:t>
            </w:r>
            <w:r>
              <w:rPr>
                <w:rFonts w:ascii="Arial" w:eastAsia="Times New Roman" w:hAnsi="Arial" w:cs="Arial"/>
              </w:rPr>
              <w:t xml:space="preserve"> or </w:t>
            </w:r>
            <w:r w:rsidRPr="00862C66">
              <w:rPr>
                <w:rFonts w:ascii="Arial" w:eastAsia="Times New Roman" w:hAnsi="Arial" w:cs="Arial"/>
                <w:i/>
              </w:rPr>
              <w:t>L. crispatus</w:t>
            </w:r>
            <w:r>
              <w:rPr>
                <w:rFonts w:ascii="Arial" w:eastAsia="Times New Roman" w:hAnsi="Arial" w:cs="Arial"/>
              </w:rPr>
              <w:t>. When treatments were compared to media or between each other, there was no statistically significant difference.</w:t>
            </w:r>
          </w:p>
        </w:tc>
      </w:tr>
    </w:tbl>
    <w:p w14:paraId="0DBEFF5B" w14:textId="77777777" w:rsidR="00862C66" w:rsidRDefault="00862C66"/>
    <w:p w14:paraId="466515C0" w14:textId="46113020" w:rsidR="0014488E" w:rsidRDefault="0014488E"/>
    <w:p w14:paraId="637FDB63" w14:textId="519D7A60" w:rsidR="0069163D" w:rsidRDefault="0069163D">
      <w:r w:rsidRPr="0069163D">
        <w:rPr>
          <w:noProof/>
        </w:rPr>
        <w:t xml:space="preserve">    </w:t>
      </w:r>
    </w:p>
    <w:sectPr w:rsidR="0069163D" w:rsidSect="00CE33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AFC1" w14:textId="77777777" w:rsidR="00663F99" w:rsidRDefault="00663F99" w:rsidP="001664B8">
      <w:r>
        <w:separator/>
      </w:r>
    </w:p>
  </w:endnote>
  <w:endnote w:type="continuationSeparator" w:id="0">
    <w:p w14:paraId="212982BB" w14:textId="77777777" w:rsidR="00663F99" w:rsidRDefault="00663F99" w:rsidP="0016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2754" w14:textId="77777777" w:rsidR="00663F99" w:rsidRDefault="00663F99" w:rsidP="001664B8">
      <w:r>
        <w:separator/>
      </w:r>
    </w:p>
  </w:footnote>
  <w:footnote w:type="continuationSeparator" w:id="0">
    <w:p w14:paraId="3D264A66" w14:textId="77777777" w:rsidR="00663F99" w:rsidRDefault="00663F99" w:rsidP="0016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3D"/>
    <w:rsid w:val="00010A68"/>
    <w:rsid w:val="000158E5"/>
    <w:rsid w:val="0003611E"/>
    <w:rsid w:val="00044129"/>
    <w:rsid w:val="000921D5"/>
    <w:rsid w:val="000C20FE"/>
    <w:rsid w:val="000E0F53"/>
    <w:rsid w:val="000F3336"/>
    <w:rsid w:val="00105C27"/>
    <w:rsid w:val="00117499"/>
    <w:rsid w:val="0014488E"/>
    <w:rsid w:val="00144C2B"/>
    <w:rsid w:val="001555A0"/>
    <w:rsid w:val="001664B8"/>
    <w:rsid w:val="0017633B"/>
    <w:rsid w:val="00197F34"/>
    <w:rsid w:val="001C2F08"/>
    <w:rsid w:val="001D7C62"/>
    <w:rsid w:val="002006F4"/>
    <w:rsid w:val="00211D41"/>
    <w:rsid w:val="00232781"/>
    <w:rsid w:val="00235AF4"/>
    <w:rsid w:val="00263BF5"/>
    <w:rsid w:val="00270D25"/>
    <w:rsid w:val="002811A0"/>
    <w:rsid w:val="00283F25"/>
    <w:rsid w:val="002F1BAA"/>
    <w:rsid w:val="002F5C1F"/>
    <w:rsid w:val="00312D8B"/>
    <w:rsid w:val="0037734D"/>
    <w:rsid w:val="0039119C"/>
    <w:rsid w:val="003C744B"/>
    <w:rsid w:val="003D2372"/>
    <w:rsid w:val="003E2402"/>
    <w:rsid w:val="003E3417"/>
    <w:rsid w:val="004210B5"/>
    <w:rsid w:val="00452DCE"/>
    <w:rsid w:val="004C1401"/>
    <w:rsid w:val="004D640C"/>
    <w:rsid w:val="004E38C8"/>
    <w:rsid w:val="004E709E"/>
    <w:rsid w:val="004E7604"/>
    <w:rsid w:val="00520638"/>
    <w:rsid w:val="005342EA"/>
    <w:rsid w:val="00541B5A"/>
    <w:rsid w:val="00546F45"/>
    <w:rsid w:val="00577B6D"/>
    <w:rsid w:val="00587E10"/>
    <w:rsid w:val="00590842"/>
    <w:rsid w:val="00591B8A"/>
    <w:rsid w:val="0059713C"/>
    <w:rsid w:val="005A01DA"/>
    <w:rsid w:val="005A3607"/>
    <w:rsid w:val="005B1603"/>
    <w:rsid w:val="005C338D"/>
    <w:rsid w:val="006175B4"/>
    <w:rsid w:val="00626F35"/>
    <w:rsid w:val="00655AD2"/>
    <w:rsid w:val="00661144"/>
    <w:rsid w:val="00661CA8"/>
    <w:rsid w:val="00663F99"/>
    <w:rsid w:val="006678DB"/>
    <w:rsid w:val="00677725"/>
    <w:rsid w:val="0069163D"/>
    <w:rsid w:val="006A4ED1"/>
    <w:rsid w:val="007044BF"/>
    <w:rsid w:val="007256DC"/>
    <w:rsid w:val="007429B1"/>
    <w:rsid w:val="00753197"/>
    <w:rsid w:val="00762A86"/>
    <w:rsid w:val="0078408A"/>
    <w:rsid w:val="00792067"/>
    <w:rsid w:val="00794971"/>
    <w:rsid w:val="007E7F5C"/>
    <w:rsid w:val="00806407"/>
    <w:rsid w:val="00812655"/>
    <w:rsid w:val="0083669E"/>
    <w:rsid w:val="00843FA2"/>
    <w:rsid w:val="00853818"/>
    <w:rsid w:val="008607B6"/>
    <w:rsid w:val="00862C66"/>
    <w:rsid w:val="008B4F80"/>
    <w:rsid w:val="008D4315"/>
    <w:rsid w:val="008E035A"/>
    <w:rsid w:val="008F1380"/>
    <w:rsid w:val="008F1E7F"/>
    <w:rsid w:val="00915F0E"/>
    <w:rsid w:val="00923100"/>
    <w:rsid w:val="0092685D"/>
    <w:rsid w:val="0099181F"/>
    <w:rsid w:val="00993E06"/>
    <w:rsid w:val="009A299F"/>
    <w:rsid w:val="009C295D"/>
    <w:rsid w:val="009D6422"/>
    <w:rsid w:val="00AA2F3A"/>
    <w:rsid w:val="00B012E8"/>
    <w:rsid w:val="00B2330F"/>
    <w:rsid w:val="00B23EE9"/>
    <w:rsid w:val="00BB580D"/>
    <w:rsid w:val="00BC702A"/>
    <w:rsid w:val="00BD595A"/>
    <w:rsid w:val="00BD61C9"/>
    <w:rsid w:val="00BF29B2"/>
    <w:rsid w:val="00C119F4"/>
    <w:rsid w:val="00C20657"/>
    <w:rsid w:val="00C30812"/>
    <w:rsid w:val="00C36226"/>
    <w:rsid w:val="00C56858"/>
    <w:rsid w:val="00C868C4"/>
    <w:rsid w:val="00CA272A"/>
    <w:rsid w:val="00CE33B4"/>
    <w:rsid w:val="00CF0EF9"/>
    <w:rsid w:val="00D0247D"/>
    <w:rsid w:val="00D42618"/>
    <w:rsid w:val="00D624D3"/>
    <w:rsid w:val="00D76068"/>
    <w:rsid w:val="00D769B6"/>
    <w:rsid w:val="00D77F4B"/>
    <w:rsid w:val="00D82AD2"/>
    <w:rsid w:val="00DA69AC"/>
    <w:rsid w:val="00DD01B5"/>
    <w:rsid w:val="00DD2E17"/>
    <w:rsid w:val="00DE13D4"/>
    <w:rsid w:val="00E01EC9"/>
    <w:rsid w:val="00E35020"/>
    <w:rsid w:val="00E41A19"/>
    <w:rsid w:val="00E74C4B"/>
    <w:rsid w:val="00EB2517"/>
    <w:rsid w:val="00EB7B5D"/>
    <w:rsid w:val="00EC4263"/>
    <w:rsid w:val="00EE4B1D"/>
    <w:rsid w:val="00F372AD"/>
    <w:rsid w:val="00F557F9"/>
    <w:rsid w:val="00F56A2E"/>
    <w:rsid w:val="00F71F5E"/>
    <w:rsid w:val="00F84133"/>
    <w:rsid w:val="00FA49E3"/>
    <w:rsid w:val="00FE03F8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67EC"/>
  <w15:chartTrackingRefBased/>
  <w15:docId w15:val="{ECEE9444-6BC4-AA46-B44C-9704D20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B8"/>
  </w:style>
  <w:style w:type="paragraph" w:styleId="Footer">
    <w:name w:val="footer"/>
    <w:basedOn w:val="Normal"/>
    <w:link w:val="FooterChar"/>
    <w:uiPriority w:val="99"/>
    <w:unhideWhenUsed/>
    <w:rsid w:val="00166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Damalie Nakanjako</cp:lastModifiedBy>
  <cp:revision>2</cp:revision>
  <dcterms:created xsi:type="dcterms:W3CDTF">2020-10-18T08:33:00Z</dcterms:created>
  <dcterms:modified xsi:type="dcterms:W3CDTF">2020-10-18T08:33:00Z</dcterms:modified>
  <cp:category/>
</cp:coreProperties>
</file>