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C3" w:rsidRDefault="007D27C3" w:rsidP="007D27C3">
      <w:pPr>
        <w:spacing w:line="480" w:lineRule="auto"/>
        <w:rPr>
          <w:rFonts w:ascii="Times New Roman" w:hAnsi="Times New Roman"/>
          <w:sz w:val="24"/>
          <w:szCs w:val="28"/>
        </w:rPr>
      </w:pPr>
      <w:bookmarkStart w:id="0" w:name="OLE_LINK1"/>
      <w:bookmarkStart w:id="1" w:name="_GoBack"/>
      <w:bookmarkEnd w:id="1"/>
      <w:r>
        <w:rPr>
          <w:rFonts w:ascii="Times New Roman" w:hAnsi="Times New Roman" w:cs="Times New Roman"/>
          <w:b/>
          <w:sz w:val="24"/>
          <w:szCs w:val="18"/>
        </w:rPr>
        <w:t xml:space="preserve">Supplementary table 4 </w:t>
      </w:r>
      <w:r>
        <w:rPr>
          <w:rFonts w:ascii="Times New Roman" w:hAnsi="Times New Roman" w:cs="Times New Roman"/>
          <w:sz w:val="24"/>
        </w:rPr>
        <w:t xml:space="preserve">Adjusted HRs for the differences in minerals intake between dinner and breakfast and cancer and all-cause mortality with additionally excluding </w:t>
      </w:r>
      <w:r>
        <w:rPr>
          <w:rFonts w:ascii="Times New Roman" w:hAnsi="Times New Roman"/>
          <w:sz w:val="24"/>
          <w:szCs w:val="28"/>
        </w:rPr>
        <w:t xml:space="preserve">those having </w:t>
      </w:r>
      <w:bookmarkStart w:id="2" w:name="OLE_LINK3"/>
      <w:r>
        <w:rPr>
          <w:rFonts w:ascii="Times New Roman" w:hAnsi="Times New Roman"/>
          <w:sz w:val="24"/>
          <w:szCs w:val="28"/>
        </w:rPr>
        <w:t>mineral supplements</w:t>
      </w:r>
      <w:bookmarkEnd w:id="2"/>
      <w:r>
        <w:rPr>
          <w:rFonts w:ascii="Times New Roman" w:hAnsi="Times New Roman"/>
          <w:sz w:val="24"/>
          <w:szCs w:val="28"/>
        </w:rPr>
        <w:t>.</w:t>
      </w:r>
    </w:p>
    <w:bookmarkEnd w:id="0"/>
    <w:tbl>
      <w:tblPr>
        <w:tblW w:w="8415" w:type="dxa"/>
        <w:tblBorders>
          <w:top w:val="single" w:sz="4" w:space="0" w:color="auto"/>
          <w:bottom w:val="single" w:sz="4" w:space="0" w:color="auto"/>
          <w:insideH w:val="single" w:sz="4" w:space="0" w:color="auto"/>
        </w:tblBorders>
        <w:tblLook w:val="04A0" w:firstRow="1" w:lastRow="0" w:firstColumn="1" w:lastColumn="0" w:noHBand="0" w:noVBand="1"/>
      </w:tblPr>
      <w:tblGrid>
        <w:gridCol w:w="1805"/>
        <w:gridCol w:w="1462"/>
        <w:gridCol w:w="1716"/>
        <w:gridCol w:w="1716"/>
        <w:gridCol w:w="1716"/>
      </w:tblGrid>
      <w:tr w:rsidR="007D27C3" w:rsidTr="007D27C3">
        <w:tc>
          <w:tcPr>
            <w:tcW w:w="1805" w:type="dxa"/>
            <w:tcBorders>
              <w:top w:val="single" w:sz="4" w:space="0" w:color="auto"/>
              <w:left w:val="nil"/>
              <w:bottom w:val="nil"/>
              <w:right w:val="nil"/>
            </w:tcBorders>
          </w:tcPr>
          <w:p w:rsidR="007D27C3" w:rsidRDefault="007D27C3">
            <w:pPr>
              <w:rPr>
                <w:rFonts w:ascii="Times New Roman" w:eastAsia="宋体" w:hAnsi="Times New Roman" w:cs="Times New Roman"/>
                <w:sz w:val="24"/>
              </w:rPr>
            </w:pPr>
          </w:p>
        </w:tc>
        <w:tc>
          <w:tcPr>
            <w:tcW w:w="3178" w:type="dxa"/>
            <w:gridSpan w:val="2"/>
            <w:tcBorders>
              <w:top w:val="single" w:sz="4" w:space="0" w:color="auto"/>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Cancer mortality</w:t>
            </w:r>
          </w:p>
        </w:tc>
        <w:tc>
          <w:tcPr>
            <w:tcW w:w="3432" w:type="dxa"/>
            <w:gridSpan w:val="2"/>
            <w:tcBorders>
              <w:top w:val="single" w:sz="4" w:space="0" w:color="auto"/>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All-cause mortality</w:t>
            </w:r>
          </w:p>
        </w:tc>
      </w:tr>
      <w:tr w:rsidR="007D27C3" w:rsidTr="007D27C3">
        <w:tc>
          <w:tcPr>
            <w:tcW w:w="1805" w:type="dxa"/>
            <w:tcBorders>
              <w:top w:val="nil"/>
              <w:left w:val="nil"/>
              <w:bottom w:val="single" w:sz="4" w:space="0" w:color="auto"/>
              <w:right w:val="nil"/>
            </w:tcBorders>
          </w:tcPr>
          <w:p w:rsidR="007D27C3" w:rsidRDefault="007D27C3">
            <w:pPr>
              <w:rPr>
                <w:rFonts w:ascii="Times New Roman" w:eastAsia="宋体" w:hAnsi="Times New Roman" w:cs="Times New Roman"/>
                <w:sz w:val="24"/>
              </w:rPr>
            </w:pPr>
          </w:p>
        </w:tc>
        <w:tc>
          <w:tcPr>
            <w:tcW w:w="1462" w:type="dxa"/>
            <w:tcBorders>
              <w:top w:val="single" w:sz="4" w:space="0" w:color="auto"/>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Case/N</w:t>
            </w:r>
          </w:p>
        </w:tc>
        <w:tc>
          <w:tcPr>
            <w:tcW w:w="1716" w:type="dxa"/>
            <w:tcBorders>
              <w:top w:val="single" w:sz="4" w:space="0" w:color="auto"/>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HR (95%CI)</w:t>
            </w:r>
          </w:p>
        </w:tc>
        <w:tc>
          <w:tcPr>
            <w:tcW w:w="1716" w:type="dxa"/>
            <w:tcBorders>
              <w:top w:val="single" w:sz="4" w:space="0" w:color="auto"/>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Case/N</w:t>
            </w:r>
          </w:p>
        </w:tc>
        <w:tc>
          <w:tcPr>
            <w:tcW w:w="1716" w:type="dxa"/>
            <w:tcBorders>
              <w:top w:val="single" w:sz="4" w:space="0" w:color="auto"/>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HR (95%CI)</w:t>
            </w:r>
          </w:p>
        </w:tc>
      </w:tr>
      <w:tr w:rsidR="007D27C3" w:rsidTr="007D27C3">
        <w:tc>
          <w:tcPr>
            <w:tcW w:w="3267" w:type="dxa"/>
            <w:gridSpan w:val="2"/>
            <w:tcBorders>
              <w:top w:val="single" w:sz="4" w:space="0" w:color="auto"/>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Potassium (breakfast)</w:t>
            </w:r>
          </w:p>
        </w:tc>
        <w:tc>
          <w:tcPr>
            <w:tcW w:w="1716" w:type="dxa"/>
            <w:tcBorders>
              <w:top w:val="single" w:sz="4" w:space="0" w:color="auto"/>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single" w:sz="4" w:space="0" w:color="auto"/>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single" w:sz="4" w:space="0" w:color="auto"/>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87/4767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348/4767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103/4751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0.92(0.69-1.23)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456/4751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1.03(0.89-1.19)</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104/4760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0.78(0.59-1.05)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477/4760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0.92(0.80-1.07)</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125/4751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0.89(0.67-1.18)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563/4751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1.01(0.88-1.17)</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111/4750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0.79(0.59-1.06)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509/4750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0.93(0.81-1.08)</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0.143</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0.336</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Potassium (lunch)</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117/4757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518/4757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122/4758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1.11(0.85-1.43)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515/4758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1.06(0.94-1.20)</w:t>
            </w:r>
          </w:p>
        </w:tc>
      </w:tr>
      <w:tr w:rsidR="007D27C3" w:rsidTr="007D27C3">
        <w:trPr>
          <w:trHeight w:val="90"/>
        </w:trPr>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110/4758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0.99(0.76-1.30)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477/4758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1.03(0.91-1.18)</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81/4751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0.71(0.53-0.96)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408/4751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0.89(0.77-1.02)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100/4755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0.92(0.69-1.22)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435/4755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1.03(0.90-1.18)</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0.079</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0.464</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Potassium (dinner)</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127/4757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550/4757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101/4760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0.76(0.58-0.99)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488/4760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0.89(0.79-1.01)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99/4751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0.74(0.56-0.97)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443/4751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0.83(0.73-0.95)</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99/4756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0.68(0.51-0.90)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438/4756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0.82(0.71-0.94)</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104/4755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0.70(0.52-0.94)</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434/4755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0.85(0.73-0.98)</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0.015</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0.009</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Calcium (breakfast)</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85/3999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367/3999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101/3961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1.00(0.75-1.35)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370/3961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0.86(0.74-1.00)</w:t>
            </w:r>
          </w:p>
        </w:tc>
      </w:tr>
      <w:tr w:rsidR="007D27C3" w:rsidTr="007D27C3">
        <w:trPr>
          <w:trHeight w:val="90"/>
        </w:trPr>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85/3985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0.75(0.55-1.02)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455/3985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0.90(0.78-1.04)</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111/3976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0.95(0.71-1.28)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497/3976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0.93(0.81-1.08)</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87/3973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0.84(0.61-1.15)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436/3973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0.92(0.79-1.07)</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 xml:space="preserve">P </w:t>
            </w:r>
            <w:r>
              <w:rPr>
                <w:rFonts w:ascii="Times New Roman" w:eastAsia="宋体" w:hAnsi="Times New Roman" w:cs="Times New Roman"/>
              </w:rPr>
              <w:t>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0.309</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0.760</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Calcium (lunch)</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109/3980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463/3980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rPr>
          <w:trHeight w:val="90"/>
        </w:trPr>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104/3992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0.96(0.76-1.31)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457/3992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1.05(0.92-1.20)</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95/3967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0.89(0.67-1.18)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412/3967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0.98(0.85-1.12)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83/3980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0.83(0.61-1.12)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417/3980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1.02(0.88-1.17)</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78/3975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0.85(0.62-1.16)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376/3975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1.06(0.92-1.23)</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0.119</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0.717</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Calcium (dinner)</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lastRenderedPageBreak/>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119/3985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516/3985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97/3981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0.82(0.62-1.08)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437/3981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0.90(0.79-1.03)</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100/3977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0.80(0.60-1.05)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449/3977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0.92(0.81-1.06)</w:t>
            </w:r>
          </w:p>
        </w:tc>
      </w:tr>
      <w:tr w:rsidR="007D27C3" w:rsidTr="007D27C3">
        <w:trPr>
          <w:trHeight w:val="90"/>
        </w:trPr>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87/3975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0.69(0.52-0.93)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385/3975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0.80(0.69-0.92)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66/3976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0.59(0.43-0.83)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338/3976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0.79(0.68-0.92)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highlight w:val="yellow"/>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0.001</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0.000</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Magnesium (breakfast)</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93/5028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389/5028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105/4910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0.88(0.66-1.17)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445/4910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0.88(0.76-1.02)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119/4675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0.92(0.69-1.22)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527/4675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1.01(0.88-1.16)</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114/4653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0.83(0.62-1.10)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521/4653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0.92(0.80-1.06)</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99/4513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0.78(0.58-1.06)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471/4513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0.90(0.78-1.04)</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0.123</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0.552</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Magnesium (lunch)</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119/4777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532/4777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119/4873</w:t>
            </w:r>
          </w:p>
        </w:tc>
        <w:tc>
          <w:tcPr>
            <w:tcW w:w="1716" w:type="dxa"/>
            <w:tcBorders>
              <w:top w:val="nil"/>
              <w:left w:val="nil"/>
              <w:bottom w:val="nil"/>
              <w:right w:val="nil"/>
            </w:tcBorders>
            <w:hideMark/>
          </w:tcPr>
          <w:p w:rsidR="007D27C3" w:rsidRDefault="007D27C3">
            <w:pPr>
              <w:rPr>
                <w:rFonts w:ascii="Times New Roman" w:eastAsia="宋体" w:hAnsi="Times New Roman" w:cs="Times New Roman"/>
                <w:sz w:val="24"/>
              </w:rPr>
            </w:pPr>
            <w:r>
              <w:rPr>
                <w:rFonts w:ascii="Times New Roman" w:eastAsia="宋体" w:hAnsi="Times New Roman" w:cs="Times New Roman"/>
                <w:sz w:val="24"/>
              </w:rPr>
              <w:t>1.07(0.83-1.39)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540/4873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1.09(0.96-1.23)</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113/4796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1.01(0.78-1.32)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472/4796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0.98(0.86-1.12)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92/4731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0.81(0.61-1.08)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437/4731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0.98(0.85-1.12)</w:t>
            </w:r>
          </w:p>
        </w:tc>
      </w:tr>
      <w:tr w:rsidR="007D27C3" w:rsidTr="007D27C3">
        <w:trPr>
          <w:trHeight w:val="290"/>
        </w:trPr>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87/4602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0.90(0.67-1.21)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372/4602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1.00(0.86-1.15)</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0.186</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0.634</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Magnesium (dinner)</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135/4786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592/4786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105/4843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0.75(0.58-0.98)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505/4843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0.88(0.78-1.00)</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100/4752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0.71(0.54-0.93)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456/4752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0.83(0.73-0.95)</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93/4744</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0.67(0.50-0.89)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422/4744</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0.81(0.71-0.93)</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97/4654</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0.72(0.53-0.97)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378/4654</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0.82(0.71-0.96)</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0.019</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0.004</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Copper (breakfast)</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68/4253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320/4253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123/5145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1.15(0.85-1.56)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510/5145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0.93(0.80-1.07)</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133/5105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1.10(0.81-1.49)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584/5105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0.95(0.82-1.09)</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123/5151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0.99(0.73-1.36)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599/5151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0.95(0.83-1.10)</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73/2927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1.10(0.77-1.56)</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296/2927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0.91(0.76-1.07)</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0.842</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0.438</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Copper (lunch)</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68/2490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287/2490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97/3952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1.00(0.73-1.37)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431/3952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1.05(0.90-1.22)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146/6007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1.04(0.77-1.40)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622/6007</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1.06(0.92-1.23)</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123/6210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0.79(0.58-1.08)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619/6210</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0.99(0.85-1.14)</w:t>
            </w:r>
          </w:p>
        </w:tc>
      </w:tr>
      <w:tr w:rsidR="007D27C3" w:rsidTr="007D27C3">
        <w:trPr>
          <w:trHeight w:val="290"/>
        </w:trPr>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86/3922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0.89(0.63-1.25)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350/3922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0.95(0.80-1.12)</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0.139</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0.336</w:t>
            </w:r>
          </w:p>
        </w:tc>
      </w:tr>
      <w:tr w:rsidR="007D27C3" w:rsidTr="007D27C3">
        <w:tc>
          <w:tcPr>
            <w:tcW w:w="3267" w:type="dxa"/>
            <w:gridSpan w:val="2"/>
            <w:tcBorders>
              <w:top w:val="nil"/>
              <w:left w:val="nil"/>
              <w:bottom w:val="nil"/>
              <w:right w:val="nil"/>
            </w:tcBorders>
            <w:hideMark/>
          </w:tcPr>
          <w:p w:rsidR="007D27C3" w:rsidRDefault="007D27C3">
            <w:pPr>
              <w:jc w:val="left"/>
              <w:rPr>
                <w:rFonts w:ascii="Times New Roman" w:eastAsia="宋体" w:hAnsi="Times New Roman" w:cs="Times New Roman"/>
                <w:b/>
                <w:sz w:val="24"/>
              </w:rPr>
            </w:pPr>
            <w:r>
              <w:rPr>
                <w:rFonts w:ascii="Times New Roman" w:eastAsia="宋体" w:hAnsi="Times New Roman" w:cs="Times New Roman"/>
                <w:b/>
                <w:sz w:val="24"/>
              </w:rPr>
              <w:t>Copper (dinner)</w:t>
            </w: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nil"/>
              <w:right w:val="nil"/>
            </w:tcBorders>
          </w:tcPr>
          <w:p w:rsidR="007D27C3" w:rsidRDefault="007D27C3">
            <w:pPr>
              <w:jc w:val="center"/>
              <w:rPr>
                <w:rFonts w:ascii="Times New Roman" w:eastAsia="宋体" w:hAnsi="Times New Roman" w:cs="Times New Roman"/>
                <w:sz w:val="24"/>
              </w:rPr>
            </w:pP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Q1</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82/3091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372/3091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Q2</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119/4989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0.89(0.67-1.19)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541/4989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0.93(0.81-1.06)</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lastRenderedPageBreak/>
              <w:t>Q3</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127/6298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0.74(0.55-0.99)</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602/6298</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0.83(0.72-0.95)</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rPr>
              <w:t>Q4</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115/5041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0.77(0.57-1.05)</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511/5041</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0.90(0.78-1.04)</w:t>
            </w:r>
          </w:p>
        </w:tc>
      </w:tr>
      <w:tr w:rsidR="007D27C3" w:rsidTr="007D27C3">
        <w:tc>
          <w:tcPr>
            <w:tcW w:w="1805" w:type="dxa"/>
            <w:tcBorders>
              <w:top w:val="nil"/>
              <w:left w:val="nil"/>
              <w:bottom w:val="nil"/>
              <w:right w:val="nil"/>
            </w:tcBorders>
            <w:hideMark/>
          </w:tcPr>
          <w:p w:rsidR="007D27C3" w:rsidRDefault="007D27C3">
            <w:pPr>
              <w:jc w:val="center"/>
              <w:rPr>
                <w:rFonts w:ascii="Times New Roman" w:eastAsia="宋体" w:hAnsi="Times New Roman" w:cs="Times New Roman"/>
                <w:i/>
              </w:rPr>
            </w:pPr>
            <w:r>
              <w:rPr>
                <w:rFonts w:ascii="Times New Roman" w:eastAsia="宋体" w:hAnsi="Times New Roman" w:cs="Times New Roman"/>
              </w:rPr>
              <w:t>Q5</w:t>
            </w:r>
          </w:p>
        </w:tc>
        <w:tc>
          <w:tcPr>
            <w:tcW w:w="1462"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77/3162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0.80(0.56-1.13)</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283/3162</w:t>
            </w:r>
          </w:p>
        </w:tc>
        <w:tc>
          <w:tcPr>
            <w:tcW w:w="1716" w:type="dxa"/>
            <w:tcBorders>
              <w:top w:val="nil"/>
              <w:left w:val="nil"/>
              <w:bottom w:val="nil"/>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0.79(0.66-0.93)</w:t>
            </w:r>
          </w:p>
        </w:tc>
      </w:tr>
      <w:tr w:rsidR="007D27C3" w:rsidTr="007D27C3">
        <w:tc>
          <w:tcPr>
            <w:tcW w:w="1805" w:type="dxa"/>
            <w:tcBorders>
              <w:top w:val="nil"/>
              <w:left w:val="nil"/>
              <w:bottom w:val="single" w:sz="4" w:space="0" w:color="auto"/>
              <w:right w:val="nil"/>
            </w:tcBorders>
            <w:hideMark/>
          </w:tcPr>
          <w:p w:rsidR="007D27C3" w:rsidRDefault="007D27C3">
            <w:pPr>
              <w:jc w:val="center"/>
              <w:rPr>
                <w:rFonts w:ascii="Times New Roman" w:eastAsia="宋体" w:hAnsi="Times New Roman" w:cs="Times New Roman"/>
              </w:rPr>
            </w:pPr>
            <w:r>
              <w:rPr>
                <w:rFonts w:ascii="Times New Roman" w:eastAsia="宋体" w:hAnsi="Times New Roman" w:cs="Times New Roman"/>
                <w:i/>
              </w:rPr>
              <w:t>P</w:t>
            </w:r>
            <w:r>
              <w:rPr>
                <w:rFonts w:ascii="Times New Roman" w:eastAsia="宋体" w:hAnsi="Times New Roman" w:cs="Times New Roman"/>
              </w:rPr>
              <w:t xml:space="preserve"> for trend</w:t>
            </w:r>
          </w:p>
        </w:tc>
        <w:tc>
          <w:tcPr>
            <w:tcW w:w="1462" w:type="dxa"/>
            <w:tcBorders>
              <w:top w:val="nil"/>
              <w:left w:val="nil"/>
              <w:bottom w:val="single" w:sz="4" w:space="0" w:color="auto"/>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0.118</w:t>
            </w:r>
          </w:p>
        </w:tc>
        <w:tc>
          <w:tcPr>
            <w:tcW w:w="1716" w:type="dxa"/>
            <w:tcBorders>
              <w:top w:val="nil"/>
              <w:left w:val="nil"/>
              <w:bottom w:val="single" w:sz="4" w:space="0" w:color="auto"/>
              <w:right w:val="nil"/>
            </w:tcBorders>
          </w:tcPr>
          <w:p w:rsidR="007D27C3" w:rsidRDefault="007D27C3">
            <w:pPr>
              <w:jc w:val="center"/>
              <w:rPr>
                <w:rFonts w:ascii="Times New Roman" w:eastAsia="宋体" w:hAnsi="Times New Roman" w:cs="Times New Roman"/>
                <w:sz w:val="24"/>
              </w:rPr>
            </w:pPr>
          </w:p>
        </w:tc>
        <w:tc>
          <w:tcPr>
            <w:tcW w:w="1716" w:type="dxa"/>
            <w:tcBorders>
              <w:top w:val="nil"/>
              <w:left w:val="nil"/>
              <w:bottom w:val="single" w:sz="4" w:space="0" w:color="auto"/>
              <w:right w:val="nil"/>
            </w:tcBorders>
            <w:hideMark/>
          </w:tcPr>
          <w:p w:rsidR="007D27C3" w:rsidRDefault="007D27C3">
            <w:pPr>
              <w:jc w:val="center"/>
              <w:rPr>
                <w:rFonts w:ascii="Times New Roman" w:eastAsia="宋体" w:hAnsi="Times New Roman" w:cs="Times New Roman"/>
                <w:sz w:val="24"/>
              </w:rPr>
            </w:pPr>
            <w:r>
              <w:rPr>
                <w:rFonts w:ascii="Times New Roman" w:eastAsia="宋体" w:hAnsi="Times New Roman" w:cs="Times New Roman"/>
                <w:sz w:val="24"/>
              </w:rPr>
              <w:t>0.011</w:t>
            </w:r>
          </w:p>
        </w:tc>
      </w:tr>
    </w:tbl>
    <w:p w:rsidR="007D27C3" w:rsidRDefault="007D27C3" w:rsidP="007D27C3">
      <w:pPr>
        <w:spacing w:line="480" w:lineRule="auto"/>
        <w:rPr>
          <w:rFonts w:ascii="Times New Roman" w:hAnsi="Times New Roman" w:cs="Times New Roman"/>
          <w:sz w:val="24"/>
          <w:szCs w:val="18"/>
        </w:rPr>
      </w:pPr>
      <w:r>
        <w:rPr>
          <w:rFonts w:ascii="Times New Roman" w:hAnsi="Times New Roman" w:cs="Times New Roman"/>
          <w:sz w:val="24"/>
          <w:szCs w:val="18"/>
        </w:rPr>
        <w:t xml:space="preserve">Adjustments included age, sex, ethnicity, income, education level, regular exercise, smoking and drinking status, BMI, prevalence of diabetes, hypertension, hyperlipidemia, nutrient supplement use, AHEI, total daily energy intake and total dietary minerals intake. Q, </w:t>
      </w:r>
      <w:r>
        <w:rPr>
          <w:rFonts w:ascii="Times New Roman" w:hAnsi="Times New Roman" w:cs="Times New Roman"/>
          <w:sz w:val="24"/>
        </w:rPr>
        <w:t>quartile. HR, hazard ratio.</w:t>
      </w:r>
    </w:p>
    <w:p w:rsidR="007D27C3" w:rsidRDefault="007D27C3" w:rsidP="007D27C3">
      <w:pPr>
        <w:spacing w:line="480" w:lineRule="auto"/>
        <w:rPr>
          <w:rFonts w:ascii="Times New Roman" w:hAnsi="Times New Roman" w:cs="Times New Roman"/>
          <w:sz w:val="24"/>
        </w:rPr>
      </w:pPr>
    </w:p>
    <w:p w:rsidR="00415703" w:rsidRDefault="00415703"/>
    <w:sectPr w:rsidR="00415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3A"/>
    <w:rsid w:val="00415703"/>
    <w:rsid w:val="007D27C3"/>
    <w:rsid w:val="00DE0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ABABF-A60F-4C91-9EAC-8146F2B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2020-12-17T14:51:00Z</dcterms:created>
  <dcterms:modified xsi:type="dcterms:W3CDTF">2020-12-17T14:52:00Z</dcterms:modified>
</cp:coreProperties>
</file>