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10" w:rsidRPr="00E429F6" w:rsidRDefault="001C5410" w:rsidP="001C5410">
      <w:pPr>
        <w:widowControl w:val="0"/>
        <w:topLinePunct/>
        <w:spacing w:line="480" w:lineRule="auto"/>
        <w:contextualSpacing/>
        <w:rPr>
          <w:rFonts w:ascii="Times New Roman" w:eastAsia="Yu Mincho" w:hAnsi="Times New Roman" w:cs="Times New Roman"/>
        </w:rPr>
      </w:pPr>
      <w:r w:rsidRPr="00E429F6">
        <w:rPr>
          <w:rFonts w:ascii="Times New Roman" w:eastAsia="Yu Mincho" w:hAnsi="Times New Roman" w:cs="Times New Roman"/>
        </w:rPr>
        <w:t>Supplemental Table 1. Patient characteristics and outcomes in the instrumental variable analyses</w:t>
      </w:r>
    </w:p>
    <w:tbl>
      <w:tblPr>
        <w:tblW w:w="94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35"/>
        <w:gridCol w:w="1926"/>
        <w:gridCol w:w="1908"/>
        <w:gridCol w:w="1911"/>
      </w:tblGrid>
      <w:tr w:rsidR="001C5410" w:rsidRPr="00E429F6" w:rsidTr="00AD2F86">
        <w:trPr>
          <w:trHeight w:val="313"/>
        </w:trPr>
        <w:tc>
          <w:tcPr>
            <w:tcW w:w="3735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Variables</w:t>
            </w:r>
          </w:p>
        </w:tc>
        <w:tc>
          <w:tcPr>
            <w:tcW w:w="574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Default="001C5410" w:rsidP="00AD2F86">
            <w:pPr>
              <w:widowControl w:val="0"/>
              <w:topLinePunct/>
              <w:adjustRightInd w:val="0"/>
              <w:snapToGrid w:val="0"/>
              <w:jc w:val="center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Instrumental variable analyses</w:t>
            </w:r>
          </w:p>
        </w:tc>
      </w:tr>
      <w:tr w:rsidR="001C5410" w:rsidRPr="00E429F6" w:rsidTr="00AD2F86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High-Na IVIG for previous patient (N=21991)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Low-Na IVIG for previous patient (N=19556)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ASD (%)</w:t>
            </w:r>
          </w:p>
        </w:tc>
      </w:tr>
      <w:tr w:rsidR="001C5410" w:rsidRPr="00E429F6" w:rsidTr="00AD2F86">
        <w:trPr>
          <w:trHeight w:val="313"/>
        </w:trPr>
        <w:tc>
          <w:tcPr>
            <w:tcW w:w="3735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Mincho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Mincho" w:hAnsi="Times New Roman" w:cs="Times New Roman"/>
                <w:sz w:val="20"/>
                <w:szCs w:val="18"/>
              </w:rPr>
              <w:t>Age (years), mean (SD)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1.9 (1.6)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1.9 (1.6)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2.9</w:t>
            </w:r>
          </w:p>
        </w:tc>
      </w:tr>
      <w:tr w:rsidR="001C5410" w:rsidRPr="00E429F6" w:rsidTr="00AD2F86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Mincho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Mincho" w:hAnsi="Times New Roman" w:cs="Times New Roman"/>
                <w:sz w:val="20"/>
                <w:szCs w:val="18"/>
              </w:rPr>
              <w:t>Male sex, n (%)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12659 (57.6)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11313 (57.8)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1.6</w:t>
            </w:r>
          </w:p>
        </w:tc>
      </w:tr>
      <w:tr w:rsidR="001C5410" w:rsidRPr="00E429F6" w:rsidTr="00AD2F86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Mincho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Mincho" w:hAnsi="Times New Roman" w:cs="Times New Roman"/>
                <w:sz w:val="20"/>
                <w:szCs w:val="18"/>
              </w:rPr>
              <w:t>Weight (kg), mean (SD)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11.6 (5.1)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11.7 (3.8)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0.5</w:t>
            </w:r>
          </w:p>
        </w:tc>
      </w:tr>
      <w:tr w:rsidR="001C5410" w:rsidRPr="00E429F6" w:rsidTr="00AD2F86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Mincho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Mincho" w:hAnsi="Times New Roman" w:cs="Times New Roman"/>
                <w:sz w:val="20"/>
                <w:szCs w:val="18"/>
              </w:rPr>
              <w:t>Height (cm), mean (SD)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75.1 (31.7)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71.8 (35.3)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2.2</w:t>
            </w:r>
          </w:p>
        </w:tc>
      </w:tr>
      <w:tr w:rsidR="001C5410" w:rsidRPr="00E429F6" w:rsidTr="00AD2F86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Mincho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Mincho" w:hAnsi="Times New Roman" w:cs="Times New Roman"/>
                <w:sz w:val="20"/>
                <w:szCs w:val="18"/>
              </w:rPr>
              <w:t>Hospital days of illness at initial IVIG, median (IQR)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2.0 (1.0, 2.0)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2.0 (1.0, 3.0)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4.0</w:t>
            </w:r>
          </w:p>
        </w:tc>
      </w:tr>
      <w:tr w:rsidR="001C5410" w:rsidRPr="00E429F6" w:rsidTr="00AD2F86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Mincho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Mincho" w:hAnsi="Times New Roman" w:cs="Times New Roman"/>
                <w:sz w:val="20"/>
                <w:szCs w:val="18"/>
              </w:rPr>
              <w:t>Type of hospital, n (%)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Mincho" w:hAnsi="Times New Roman" w:cs="Times New Roman"/>
                <w:sz w:val="20"/>
                <w:szCs w:val="1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Mincho" w:hAnsi="Times New Roman" w:cs="Times New Roman"/>
                <w:sz w:val="20"/>
                <w:szCs w:val="1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1C5410" w:rsidRPr="00E429F6" w:rsidTr="00AD2F86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ind w:firstLineChars="100" w:firstLine="200"/>
              <w:rPr>
                <w:rFonts w:ascii="Times New Roman" w:eastAsia="Yu Mincho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Mincho" w:hAnsi="Times New Roman" w:cs="Times New Roman"/>
                <w:sz w:val="20"/>
                <w:szCs w:val="18"/>
              </w:rPr>
              <w:t>Academic hospital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4364 (21.3)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2723 (14.6)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24.5</w:t>
            </w:r>
          </w:p>
        </w:tc>
      </w:tr>
      <w:tr w:rsidR="001C5410" w:rsidRPr="00E429F6" w:rsidTr="00AD2F86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Mincho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Mincho" w:hAnsi="Times New Roman" w:cs="Times New Roman"/>
                <w:sz w:val="20"/>
                <w:szCs w:val="18"/>
              </w:rPr>
              <w:t>Complex chronic conditions, n (%)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Mincho" w:hAnsi="Times New Roman" w:cs="Times New Roman"/>
                <w:sz w:val="20"/>
                <w:szCs w:val="1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1C5410" w:rsidRPr="00E429F6" w:rsidTr="00AD2F86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ind w:firstLineChars="100" w:firstLine="200"/>
              <w:rPr>
                <w:rFonts w:ascii="Times New Roman" w:eastAsia="Yu Mincho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Mincho" w:hAnsi="Times New Roman" w:cs="Times New Roman"/>
                <w:sz w:val="20"/>
                <w:szCs w:val="18"/>
              </w:rPr>
              <w:t>0–1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21188 (96.3)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18902 (96.7)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2.7</w:t>
            </w:r>
          </w:p>
        </w:tc>
      </w:tr>
      <w:tr w:rsidR="001C5410" w:rsidRPr="00E429F6" w:rsidTr="00AD2F86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ind w:firstLineChars="100" w:firstLine="200"/>
              <w:rPr>
                <w:rFonts w:ascii="Times New Roman" w:eastAsia="Yu Mincho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Mincho" w:hAnsi="Times New Roman" w:cs="Times New Roman"/>
                <w:sz w:val="20"/>
                <w:szCs w:val="18"/>
              </w:rPr>
              <w:t>≥2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803 (3.7)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654 (3.3)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2.7</w:t>
            </w:r>
          </w:p>
        </w:tc>
      </w:tr>
      <w:tr w:rsidR="001C5410" w:rsidRPr="00E429F6" w:rsidTr="00AD2F86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Mincho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Mincho" w:hAnsi="Times New Roman" w:cs="Times New Roman"/>
                <w:sz w:val="20"/>
                <w:szCs w:val="18"/>
              </w:rPr>
              <w:t>Transportation by ambulance, n (%)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521 (2.4)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406 (2.1)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0.6</w:t>
            </w:r>
          </w:p>
        </w:tc>
      </w:tr>
      <w:tr w:rsidR="001C5410" w:rsidRPr="00E429F6" w:rsidTr="00AD2F86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Mincho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Mincho" w:hAnsi="Times New Roman" w:cs="Times New Roman"/>
                <w:sz w:val="20"/>
                <w:szCs w:val="18"/>
              </w:rPr>
              <w:t>ADL at admission, mean (SD)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33.5 (37.3)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34.2 (37.2)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1.5</w:t>
            </w:r>
          </w:p>
        </w:tc>
      </w:tr>
      <w:tr w:rsidR="001C5410" w:rsidRPr="00E429F6" w:rsidTr="00AD2F86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Mincho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Mincho" w:hAnsi="Times New Roman" w:cs="Times New Roman"/>
                <w:sz w:val="20"/>
                <w:szCs w:val="18"/>
              </w:rPr>
              <w:t>Japan Coma Scale at admission, n (%)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Mincho" w:hAnsi="Times New Roman" w:cs="Times New Roman"/>
                <w:sz w:val="20"/>
                <w:szCs w:val="1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Mincho" w:hAnsi="Times New Roman" w:cs="Times New Roman"/>
                <w:sz w:val="20"/>
                <w:szCs w:val="1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1C5410" w:rsidRPr="00E429F6" w:rsidTr="00AD2F86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ind w:firstLineChars="100" w:firstLine="200"/>
              <w:rPr>
                <w:rFonts w:ascii="Times New Roman" w:eastAsia="Yu Mincho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Mincho" w:hAnsi="Times New Roman" w:cs="Times New Roman"/>
                <w:sz w:val="20"/>
                <w:szCs w:val="18"/>
              </w:rPr>
              <w:t>Alert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21805 (99.2)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19382 (99.1)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1.6</w:t>
            </w:r>
          </w:p>
        </w:tc>
      </w:tr>
      <w:tr w:rsidR="001C5410" w:rsidRPr="00E429F6" w:rsidTr="00AD2F86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ind w:firstLineChars="100" w:firstLine="200"/>
              <w:rPr>
                <w:rFonts w:ascii="Times New Roman" w:eastAsia="Yu Mincho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Mincho" w:hAnsi="Times New Roman" w:cs="Times New Roman"/>
                <w:sz w:val="20"/>
                <w:szCs w:val="18"/>
              </w:rPr>
              <w:t>Not alert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186 (0.8)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174 (0.9)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1.6</w:t>
            </w:r>
          </w:p>
        </w:tc>
      </w:tr>
      <w:tr w:rsidR="001C5410" w:rsidRPr="00E429F6" w:rsidTr="00AD2F86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Mincho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Mincho" w:hAnsi="Times New Roman" w:cs="Times New Roman"/>
                <w:sz w:val="20"/>
                <w:szCs w:val="18"/>
              </w:rPr>
              <w:t>Transportation from other hospital, n (%)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16603 (75.5)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14390 (73.6)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2.5</w:t>
            </w:r>
          </w:p>
        </w:tc>
      </w:tr>
      <w:tr w:rsidR="001C5410" w:rsidRPr="00E429F6" w:rsidTr="00AD2F86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Mincho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Mincho" w:hAnsi="Times New Roman" w:cs="Times New Roman"/>
                <w:sz w:val="20"/>
                <w:szCs w:val="18"/>
              </w:rPr>
              <w:t>Fiscal year, n (%)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Mincho" w:hAnsi="Times New Roman" w:cs="Times New Roman"/>
                <w:sz w:val="20"/>
                <w:szCs w:val="1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1C5410" w:rsidRPr="00E429F6" w:rsidTr="00AD2F86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ind w:firstLineChars="100" w:firstLine="200"/>
              <w:rPr>
                <w:rFonts w:ascii="Times New Roman" w:eastAsia="Yu Mincho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Mincho" w:hAnsi="Times New Roman" w:cs="Times New Roman"/>
                <w:sz w:val="20"/>
                <w:szCs w:val="18"/>
              </w:rPr>
              <w:t>2010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1212 (5.5)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1278 (6.5)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6.9</w:t>
            </w:r>
          </w:p>
        </w:tc>
      </w:tr>
      <w:tr w:rsidR="001C5410" w:rsidRPr="00E429F6" w:rsidTr="00AD2F86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ind w:firstLineChars="100" w:firstLine="200"/>
              <w:rPr>
                <w:rFonts w:ascii="Times New Roman" w:eastAsia="Yu Mincho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Mincho" w:hAnsi="Times New Roman" w:cs="Times New Roman"/>
                <w:sz w:val="20"/>
                <w:szCs w:val="18"/>
              </w:rPr>
              <w:t>2011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2613 (11.9)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2362 (12.1)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4.1</w:t>
            </w:r>
          </w:p>
        </w:tc>
      </w:tr>
      <w:tr w:rsidR="001C5410" w:rsidRPr="00E429F6" w:rsidTr="00AD2F86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ind w:firstLineChars="100" w:firstLine="200"/>
              <w:rPr>
                <w:rFonts w:ascii="Times New Roman" w:eastAsia="Yu Mincho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Mincho" w:hAnsi="Times New Roman" w:cs="Times New Roman"/>
                <w:sz w:val="20"/>
                <w:szCs w:val="18"/>
              </w:rPr>
              <w:t>2012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3524 (16.0)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2889 (14.8)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9.5</w:t>
            </w:r>
          </w:p>
        </w:tc>
      </w:tr>
      <w:tr w:rsidR="001C5410" w:rsidRPr="00E429F6" w:rsidTr="00AD2F86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ind w:firstLineChars="100" w:firstLine="200"/>
              <w:rPr>
                <w:rFonts w:ascii="Times New Roman" w:eastAsia="Yu Mincho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Mincho" w:hAnsi="Times New Roman" w:cs="Times New Roman"/>
                <w:sz w:val="20"/>
                <w:szCs w:val="18"/>
              </w:rPr>
              <w:t>2013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3883 (17.7)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2900 (14.8)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8.6</w:t>
            </w:r>
          </w:p>
        </w:tc>
      </w:tr>
      <w:tr w:rsidR="001C5410" w:rsidRPr="00E429F6" w:rsidTr="00AD2F86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ind w:firstLineChars="100" w:firstLine="200"/>
              <w:rPr>
                <w:rFonts w:ascii="Times New Roman" w:eastAsia="Yu Mincho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Mincho" w:hAnsi="Times New Roman" w:cs="Times New Roman"/>
                <w:sz w:val="20"/>
                <w:szCs w:val="18"/>
              </w:rPr>
              <w:t>2014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4591 (20.9)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3227 (16.5)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6.5</w:t>
            </w:r>
          </w:p>
        </w:tc>
      </w:tr>
      <w:tr w:rsidR="001C5410" w:rsidRPr="00E429F6" w:rsidTr="00AD2F86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ind w:firstLineChars="100" w:firstLine="200"/>
              <w:rPr>
                <w:rFonts w:ascii="Times New Roman" w:eastAsia="Yu Mincho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Mincho" w:hAnsi="Times New Roman" w:cs="Times New Roman"/>
                <w:sz w:val="20"/>
                <w:szCs w:val="18"/>
              </w:rPr>
              <w:t>2015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3427 (15.6)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3578 (18.3)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10.3</w:t>
            </w:r>
          </w:p>
        </w:tc>
      </w:tr>
      <w:tr w:rsidR="001C5410" w:rsidRPr="00E429F6" w:rsidTr="00AD2F86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ind w:firstLineChars="100" w:firstLine="200"/>
              <w:rPr>
                <w:rFonts w:ascii="Times New Roman" w:eastAsia="Yu Mincho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Mincho" w:hAnsi="Times New Roman" w:cs="Times New Roman"/>
                <w:sz w:val="20"/>
                <w:szCs w:val="18"/>
              </w:rPr>
              <w:t>2016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2741 (12.5)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3322 (17.0)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14.5</w:t>
            </w:r>
          </w:p>
        </w:tc>
      </w:tr>
      <w:tr w:rsidR="001C5410" w:rsidRPr="00E429F6" w:rsidTr="00AD2F86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Mincho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Mincho" w:hAnsi="Times New Roman" w:cs="Times New Roman"/>
                <w:sz w:val="20"/>
                <w:szCs w:val="18"/>
              </w:rPr>
              <w:t>Additional treatment, n (%)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3553 (16.2)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2999 (15.3)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0.0</w:t>
            </w:r>
          </w:p>
        </w:tc>
      </w:tr>
      <w:tr w:rsidR="001C5410" w:rsidRPr="00E429F6" w:rsidTr="00AD2F86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Mincho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Mincho" w:hAnsi="Times New Roman" w:cs="Times New Roman"/>
                <w:sz w:val="20"/>
                <w:szCs w:val="18"/>
              </w:rPr>
              <w:t>Hospital volume, n (%)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Mincho" w:hAnsi="Times New Roman" w:cs="Times New Roman"/>
                <w:sz w:val="20"/>
                <w:szCs w:val="1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Mincho" w:hAnsi="Times New Roman" w:cs="Times New Roman"/>
                <w:sz w:val="20"/>
                <w:szCs w:val="1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1C5410" w:rsidRPr="00E429F6" w:rsidTr="00AD2F86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ind w:firstLineChars="100" w:firstLine="200"/>
              <w:rPr>
                <w:rFonts w:ascii="Times New Roman" w:eastAsia="Yu Mincho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Mincho" w:hAnsi="Times New Roman" w:cs="Times New Roman"/>
                <w:sz w:val="20"/>
                <w:szCs w:val="18"/>
              </w:rPr>
              <w:t>Low (1–16.7)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7025 (31.9)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6340 (32.4)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10.0</w:t>
            </w:r>
          </w:p>
        </w:tc>
      </w:tr>
      <w:tr w:rsidR="001C5410" w:rsidRPr="00E429F6" w:rsidTr="00AD2F86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ind w:firstLineChars="100" w:firstLine="200"/>
              <w:rPr>
                <w:rFonts w:ascii="Times New Roman" w:eastAsia="Yu Mincho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Mincho" w:hAnsi="Times New Roman" w:cs="Times New Roman"/>
                <w:sz w:val="20"/>
                <w:szCs w:val="18"/>
              </w:rPr>
              <w:t>Middle (16.8–31.5)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7240 (32.9)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6728 (34.4)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12.5</w:t>
            </w:r>
          </w:p>
        </w:tc>
      </w:tr>
      <w:tr w:rsidR="001C5410" w:rsidRPr="00E429F6" w:rsidTr="00AD2F86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ind w:firstLineChars="100" w:firstLine="200"/>
              <w:rPr>
                <w:rFonts w:ascii="Times New Roman" w:eastAsia="Yu Mincho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Mincho" w:hAnsi="Times New Roman" w:cs="Times New Roman"/>
                <w:sz w:val="20"/>
                <w:szCs w:val="18"/>
              </w:rPr>
              <w:t>High (≥31.6)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7726 (35.1)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6488 (33.2)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2.0</w:t>
            </w:r>
          </w:p>
        </w:tc>
      </w:tr>
      <w:tr w:rsidR="001C5410" w:rsidRPr="00E429F6" w:rsidTr="00AD2F86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Outcomes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1C5410" w:rsidRPr="00E429F6" w:rsidTr="00AD2F86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ind w:leftChars="100" w:left="24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Proportion of CAAs (%)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3.1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3.1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2.9</w:t>
            </w:r>
          </w:p>
        </w:tc>
      </w:tr>
      <w:tr w:rsidR="001C5410" w:rsidRPr="00E429F6" w:rsidTr="00AD2F86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ind w:leftChars="100" w:left="24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Proportion of IVIG resistance (%)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16.9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17.9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3.9</w:t>
            </w:r>
          </w:p>
        </w:tc>
      </w:tr>
      <w:tr w:rsidR="001C5410" w:rsidRPr="00E429F6" w:rsidTr="00AD2F86">
        <w:trPr>
          <w:trHeight w:val="313"/>
        </w:trPr>
        <w:tc>
          <w:tcPr>
            <w:tcW w:w="373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ind w:leftChars="100" w:left="24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Length of stay (days), mean (SD)</w:t>
            </w:r>
          </w:p>
        </w:tc>
        <w:tc>
          <w:tcPr>
            <w:tcW w:w="1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11.8 (8.3)</w:t>
            </w: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11.7 (8.4)</w:t>
            </w:r>
          </w:p>
        </w:tc>
        <w:tc>
          <w:tcPr>
            <w:tcW w:w="19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2.1</w:t>
            </w:r>
          </w:p>
        </w:tc>
      </w:tr>
      <w:tr w:rsidR="001C5410" w:rsidRPr="00E429F6" w:rsidTr="00AD2F86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ind w:leftChars="100" w:left="24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Medical cost (USD), mean (SD)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8007 (5620)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7852 (5320)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E429F6" w:rsidRDefault="001C5410" w:rsidP="00AD2F86">
            <w:pPr>
              <w:widowControl w:val="0"/>
              <w:topLinePunct/>
              <w:adjustRightInd w:val="0"/>
              <w:snapToGrid w:val="0"/>
              <w:rPr>
                <w:rFonts w:ascii="Times New Roman" w:eastAsia="Yu Gothic" w:hAnsi="Times New Roman" w:cs="Times New Roman"/>
                <w:sz w:val="20"/>
                <w:szCs w:val="18"/>
              </w:rPr>
            </w:pPr>
            <w:r w:rsidRPr="00E429F6">
              <w:rPr>
                <w:rFonts w:ascii="Times New Roman" w:eastAsia="Yu Gothic" w:hAnsi="Times New Roman" w:cs="Times New Roman"/>
                <w:sz w:val="20"/>
                <w:szCs w:val="18"/>
              </w:rPr>
              <w:t>3.0</w:t>
            </w:r>
          </w:p>
        </w:tc>
      </w:tr>
    </w:tbl>
    <w:p w:rsidR="001C5410" w:rsidRPr="00E429F6" w:rsidRDefault="001C5410" w:rsidP="001C5410">
      <w:pPr>
        <w:pStyle w:val="timesnewroman"/>
        <w:widowControl w:val="0"/>
        <w:topLinePunct/>
        <w:spacing w:line="480" w:lineRule="auto"/>
        <w:contextualSpacing/>
        <w:rPr>
          <w:rFonts w:eastAsia="Yu Mincho"/>
          <w:b w:val="0"/>
          <w:sz w:val="24"/>
          <w:szCs w:val="24"/>
        </w:rPr>
      </w:pPr>
      <w:r w:rsidRPr="00E429F6">
        <w:rPr>
          <w:rFonts w:eastAsia="Yu Mincho"/>
          <w:b w:val="0"/>
          <w:sz w:val="24"/>
          <w:szCs w:val="24"/>
        </w:rPr>
        <w:t xml:space="preserve">ADL, activities of daily living; ASD, absolute standardized difference; CAAs, coronary artery abnormalities; IQR, interquartile range; IVIG, intravenous immunoglobulin; SD, </w:t>
      </w:r>
      <w:r w:rsidRPr="00E429F6">
        <w:rPr>
          <w:rFonts w:eastAsia="Yu Mincho"/>
          <w:b w:val="0"/>
          <w:sz w:val="24"/>
          <w:szCs w:val="24"/>
        </w:rPr>
        <w:lastRenderedPageBreak/>
        <w:t>standard deviation; USD, United States dollars.</w:t>
      </w:r>
    </w:p>
    <w:p w:rsidR="001C5410" w:rsidRPr="00E429F6" w:rsidRDefault="001C5410" w:rsidP="001C5410">
      <w:pPr>
        <w:tabs>
          <w:tab w:val="left" w:pos="1843"/>
        </w:tabs>
        <w:rPr>
          <w:rFonts w:ascii="Times New Roman" w:hAnsi="Times New Roman" w:cs="Times New Roman"/>
        </w:rPr>
      </w:pPr>
    </w:p>
    <w:p w:rsidR="00342BD7" w:rsidRDefault="00342BD7">
      <w:bookmarkStart w:id="0" w:name="_GoBack"/>
      <w:bookmarkEnd w:id="0"/>
    </w:p>
    <w:sectPr w:rsidR="00342BD7" w:rsidSect="001C5410">
      <w:pgSz w:w="11909" w:h="16834"/>
      <w:pgMar w:top="1440" w:right="1440" w:bottom="1440" w:left="1440" w:header="720" w:footer="720" w:gutter="0"/>
      <w:lnNumType w:countBy="1" w:restart="continuous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E7"/>
    <w:rsid w:val="001C5410"/>
    <w:rsid w:val="00342BD7"/>
    <w:rsid w:val="0074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E16A1-3672-490E-B63A-2BA50382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410"/>
    <w:pPr>
      <w:spacing w:after="0" w:line="240" w:lineRule="auto"/>
    </w:pPr>
    <w:rPr>
      <w:rFonts w:ascii="MS PGothic" w:eastAsia="MS PGothic" w:hAnsi="MS PGothic" w:cs="MS PGothic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">
    <w:name w:val="times new roman"/>
    <w:basedOn w:val="Normal"/>
    <w:qFormat/>
    <w:rsid w:val="001C5410"/>
    <w:pPr>
      <w:spacing w:line="276" w:lineRule="auto"/>
    </w:pPr>
    <w:rPr>
      <w:rFonts w:ascii="Times New Roman" w:eastAsiaTheme="minorEastAsia" w:hAnsi="Times New Roman" w:cs="Times New Roman"/>
      <w:b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1C5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Company>Springer Nature IT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Amruta Dange</dc:creator>
  <cp:keywords/>
  <dc:description/>
  <cp:lastModifiedBy>Amruta Dange</cp:lastModifiedBy>
  <cp:revision>2</cp:revision>
  <dcterms:created xsi:type="dcterms:W3CDTF">2021-02-20T03:36:00Z</dcterms:created>
  <dcterms:modified xsi:type="dcterms:W3CDTF">2021-02-20T03:36:00Z</dcterms:modified>
</cp:coreProperties>
</file>