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left="108" w:hanging="108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407034</wp:posOffset>
                </wp:positionV>
                <wp:extent cx="9104184" cy="64357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184" cy="64357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444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57"/>
                              <w:gridCol w:w="3217"/>
                              <w:gridCol w:w="1159"/>
                              <w:gridCol w:w="1162"/>
                              <w:gridCol w:w="1130"/>
                              <w:gridCol w:w="1130"/>
                              <w:gridCol w:w="1162"/>
                              <w:gridCol w:w="1129"/>
                              <w:gridCol w:w="1125"/>
                              <w:gridCol w:w="1144"/>
                              <w:gridCol w:w="1129"/>
                            </w:tblGrid>
                            <w:tr>
                              <w:tblPrEx>
                                <w:shd w:val="clear" w:color="auto" w:fill="4f81bd"/>
                              </w:tblPrEx>
                              <w:trPr>
                                <w:trHeight w:val="915" w:hRule="atLeast"/>
                                <w:tblHeader/>
                              </w:trPr>
                              <w:tc>
                                <w:tcPr>
                                  <w:tcW w:type="dxa" w:w="14444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Table 3: Main results</w:t>
                                  </w:r>
                                  <w:r>
                                    <w:rPr>
                                      <w:rStyle w:val="Aucun"/>
                                      <w:sz w:val="28"/>
                                      <w:szCs w:val="28"/>
                                      <w:lang w:val="en-US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Endothelial Glycocalyx (EG), NIRS-derived (NIRS) and FMD-derived (FMD) variables, before surgery (T0), 1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-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 h after arrival in PACU (T1) and 24 h after surgery (T2); data as Mean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SD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; a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nalysis by 2-way ANOVA for repeated measures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nd Tukey-Kramer multi comparison test.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43" w:hRule="atLeast"/>
                              </w:trPr>
                              <w:tc>
                                <w:tcPr>
                                  <w:tcW w:type="dxa" w:w="95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51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PLACEBO GROUP</w:t>
                                  </w:r>
                                </w:p>
                              </w:tc>
                              <w:tc>
                                <w:tcPr>
                                  <w:tcW w:type="dxa" w:w="3420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LIDOCAINE GROUP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330" w:hRule="atLeast"/>
                              </w:trPr>
                              <w:tc>
                                <w:tcPr>
                                  <w:tcW w:type="dxa" w:w="957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T0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T0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P value for difference between groups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P value for difference between times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P value for interaction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Syndecan (pg/ml)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2896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2558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3452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2656***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3999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3453**</w:t>
                                  </w:r>
                                  <w:r>
                                    <w:rPr>
                                      <w:rStyle w:val="Aucun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2115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2770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2898**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3169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2906***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0.179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0.454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95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957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NIRS</w:t>
                                  </w:r>
                                </w:p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StO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- Baseline (%)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69.2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70.7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66.4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5.1**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68.1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70.1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68.0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5.0**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0.939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0.046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0.374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StO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Ischemic slope (%/sec)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-0.165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0.049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-0.147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0.063*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-0.141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0.041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-0.163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0.042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-0.145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0.050*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-0.156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0.038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0.551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0.464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StO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Reperfusion slope (%/sec)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1.990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0.449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1.672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0.585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1.843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0.525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2.030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0.318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1.868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0.397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1.986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0.478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0.189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0.390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0.579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type="dxa" w:w="95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FMD</w:t>
                                  </w:r>
                                </w:p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Baseline vascular diameter before occlusion (mm)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4.049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0.684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4.367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0.692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4.276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0.605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4.223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0.808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4.428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0.744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4.610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0.719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0.528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0.002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0.803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Post-ischaemic diameter increase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: FMD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>max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6.1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3.6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3.8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6.9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4.9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6.6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0.240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0.382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0.123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957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216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AUC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 xml:space="preserve">ShearRate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until FMD</w:t>
                                  </w:r>
                                  <w:r>
                                    <w:rPr>
                                      <w:rStyle w:val="Aucun"/>
                                      <w:vertAlign w:val="subscript"/>
                                      <w:rtl w:val="0"/>
                                      <w:lang w:val="fr-FR"/>
                                    </w:rPr>
                                    <w:t xml:space="preserve">max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(arbitrary units)</w:t>
                                  </w:r>
                                </w:p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21512.6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11143.0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21140.7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13084.5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16527.8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8734.7</w:t>
                                  </w:r>
                                </w:p>
                              </w:tc>
                              <w:tc>
                                <w:tcPr>
                                  <w:tcW w:type="dxa" w:w="112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16270.9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8397.2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161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18588.7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11874.1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16473.5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8865.4</w:t>
                                  </w:r>
                                </w:p>
                              </w:tc>
                              <w:tc>
                                <w:tcPr>
                                  <w:tcW w:type="dxa" w:w="112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0.719</w:t>
                                  </w:r>
                                </w:p>
                              </w:tc>
                              <w:tc>
                                <w:tcPr>
                                  <w:tcW w:type="dxa" w:w="1143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0.226</w:t>
                                  </w:r>
                                </w:p>
                              </w:tc>
                              <w:tc>
                                <w:tcPr>
                                  <w:tcW w:type="dxa" w:w="112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>0.377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type="dxa" w:w="95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86"/>
                                  <w:gridSpan w:val="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rps A"/>
                                    <w:jc w:val="right"/>
                                  </w:pP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Inside each group: *** T0 vs T1 and T0 vs T2 p&lt;0.001 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>;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** T1 vs T2 p&lt;0.02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; 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en-US"/>
                                    </w:rPr>
                                    <w:t xml:space="preserve">* T0 vs T1 p&lt;0.05 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;  </w:t>
                                  </w:r>
                                  <w:r>
                                    <w:rPr>
                                      <w:rStyle w:val="Aucun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$</w:t>
                                  </w:r>
                                  <w:r>
                                    <w:rPr>
                                      <w:rStyle w:val="Aucun"/>
                                      <w:rtl w:val="0"/>
                                      <w:lang w:val="fr-FR"/>
                                    </w:rPr>
                                    <w:t xml:space="preserve"> T1 vs T2 p&lt;0.01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1pt;margin-top:32.0pt;width:716.9pt;height:50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444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57"/>
                        <w:gridCol w:w="3217"/>
                        <w:gridCol w:w="1159"/>
                        <w:gridCol w:w="1162"/>
                        <w:gridCol w:w="1130"/>
                        <w:gridCol w:w="1130"/>
                        <w:gridCol w:w="1162"/>
                        <w:gridCol w:w="1129"/>
                        <w:gridCol w:w="1125"/>
                        <w:gridCol w:w="1144"/>
                        <w:gridCol w:w="1129"/>
                      </w:tblGrid>
                      <w:tr>
                        <w:tblPrEx>
                          <w:shd w:val="clear" w:color="auto" w:fill="4f81bd"/>
                        </w:tblPrEx>
                        <w:trPr>
                          <w:trHeight w:val="915" w:hRule="atLeast"/>
                          <w:tblHeader/>
                        </w:trPr>
                        <w:tc>
                          <w:tcPr>
                            <w:tcW w:type="dxa" w:w="14444"/>
                            <w:gridSpan w:val="11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Table 3: Main results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Endothelial Glycocalyx (EG), NIRS-derived (NIRS) and FMD-derived (FMD) variables, before surgery (T0), 1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 h after arrival in PACU (T1) and 24 h after surgery (T2); data as Mean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SD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; a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nalysis by 2-way ANOVA for repeated measures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a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nd Tukey-Kramer multi comparison test.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43" w:hRule="atLeast"/>
                        </w:trPr>
                        <w:tc>
                          <w:tcPr>
                            <w:tcW w:type="dxa" w:w="957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51"/>
                            <w:gridSpan w:val="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PLACEBO GROUP</w:t>
                            </w:r>
                          </w:p>
                        </w:tc>
                        <w:tc>
                          <w:tcPr>
                            <w:tcW w:type="dxa" w:w="3420"/>
                            <w:gridSpan w:val="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LIDOCAINE GROUP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330" w:hRule="atLeast"/>
                        </w:trPr>
                        <w:tc>
                          <w:tcPr>
                            <w:tcW w:type="dxa" w:w="957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T0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T0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P value for difference between groups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P value for difference between times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P value for interaction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Syndecan (pg/ml)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2896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2558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3452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2656***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3999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3453**</w:t>
                            </w:r>
                            <w:r>
                              <w:rPr>
                                <w:rStyle w:val="Aucun"/>
                                <w:vertAlign w:val="superscript"/>
                                <w:rtl w:val="0"/>
                                <w:lang w:val="fr-FR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2115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2770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2898**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3169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2906***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vertAlign w:val="superscript"/>
                                <w:rtl w:val="0"/>
                                <w:lang w:val="fr-FR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0.179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0.454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957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957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NIRS</w:t>
                            </w:r>
                          </w:p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StO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- Baseline (%)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69.2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70.7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66.4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5.1**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68.1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70.1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68.0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5.0**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0.939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0.046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0.374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StO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Ischemic slope (%/sec)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-0.165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0.049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-0.147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0.063*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-0.141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0.041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-0.163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0.042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-0.145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0.050*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-0.156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0.038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0.551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0.464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StO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Reperfusion slope (%/sec)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1.990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0.449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1.672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0.585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1.843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0.525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2.030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0.318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1.868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0.397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1.986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0.478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0.189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0.390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0.579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0" w:hRule="atLeast"/>
                        </w:trPr>
                        <w:tc>
                          <w:tcPr>
                            <w:tcW w:type="dxa" w:w="957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restart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FMD</w:t>
                            </w:r>
                          </w:p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Baseline vascular diameter before occlusion (mm)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4.049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0.684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4.367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0.692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4.276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0.605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4.223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0.808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4.428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0.744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4.610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0.719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0.528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0.002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0.803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Post-ischaemic diameter increase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FMD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>max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6.1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3.6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3.8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6.9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4.9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6.6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0.240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0.382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0.123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957"/>
                            <w:vMerge w:val="continue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216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AUC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 xml:space="preserve">ShearRate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until FMD</w:t>
                            </w:r>
                            <w:r>
                              <w:rPr>
                                <w:rStyle w:val="Aucun"/>
                                <w:vertAlign w:val="subscript"/>
                                <w:rtl w:val="0"/>
                                <w:lang w:val="fr-FR"/>
                              </w:rPr>
                              <w:t xml:space="preserve">max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(arbitrary units)</w:t>
                            </w:r>
                          </w:p>
                        </w:tc>
                        <w:tc>
                          <w:tcPr>
                            <w:tcW w:type="dxa" w:w="115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21512.6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11143.0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21140.7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13084.5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16527.8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8734.7</w:t>
                            </w:r>
                          </w:p>
                        </w:tc>
                        <w:tc>
                          <w:tcPr>
                            <w:tcW w:type="dxa" w:w="112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16270.9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8397.2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161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18588.7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11874.1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16473.5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±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8865.4</w:t>
                            </w:r>
                          </w:p>
                        </w:tc>
                        <w:tc>
                          <w:tcPr>
                            <w:tcW w:type="dxa" w:w="112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0.719</w:t>
                            </w:r>
                          </w:p>
                        </w:tc>
                        <w:tc>
                          <w:tcPr>
                            <w:tcW w:type="dxa" w:w="1143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0.226</w:t>
                            </w:r>
                          </w:p>
                        </w:tc>
                        <w:tc>
                          <w:tcPr>
                            <w:tcW w:type="dxa" w:w="112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0.377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5" w:hRule="atLeast"/>
                        </w:trPr>
                        <w:tc>
                          <w:tcPr>
                            <w:tcW w:type="dxa" w:w="957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86"/>
                            <w:gridSpan w:val="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Inside each group: *** T0 vs T1 and T0 vs T2 p&lt;0.001 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;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** T1 vs T2 p&lt;0.02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;  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 xml:space="preserve">* T0 vs T1 p&lt;0.05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;  </w:t>
                            </w:r>
                            <w:r>
                              <w:rPr>
                                <w:rStyle w:val="Aucun"/>
                                <w:vertAlign w:val="superscript"/>
                                <w:rtl w:val="0"/>
                                <w:lang w:val="fr-FR"/>
                              </w:rPr>
                              <w:t>$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T1 vs T2 p&lt;0.01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orps A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537208</wp:posOffset>
                </wp:positionV>
                <wp:extent cx="9252836" cy="545465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36" cy="5454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/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7.9pt;margin-top:42.3pt;width:728.6pt;height:429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/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