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69453" w14:textId="77777777" w:rsidR="008923EB" w:rsidRDefault="008923EB" w:rsidP="008923EB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82B0DD" wp14:editId="25C7F923">
            <wp:extent cx="5274310" cy="3004820"/>
            <wp:effectExtent l="0" t="0" r="2540" b="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E469" w14:textId="77777777" w:rsidR="008923EB" w:rsidRDefault="008923EB" w:rsidP="008923E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0C0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Gating for activated T cell populations by flow cytometry. </w:t>
      </w:r>
      <w:r w:rsidRPr="00364C0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 g</w:t>
      </w:r>
      <w:r w:rsidRPr="00190C0A">
        <w:rPr>
          <w:rFonts w:ascii="Times New Roman" w:hAnsi="Times New Roman" w:cs="Times New Roman"/>
          <w:sz w:val="24"/>
          <w:szCs w:val="24"/>
        </w:rPr>
        <w:t>ating for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T cells (red dot plot in rectangle) and 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T cells (grey dot plot in rectangle).</w:t>
      </w:r>
      <w:r w:rsidRPr="00190C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4C0B">
        <w:rPr>
          <w:rFonts w:ascii="Times New Roman" w:hAnsi="Times New Roman" w:cs="Times New Roman"/>
          <w:b/>
          <w:kern w:val="0"/>
          <w:sz w:val="24"/>
          <w:szCs w:val="24"/>
        </w:rPr>
        <w:t>b</w:t>
      </w:r>
      <w:r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364C0B">
        <w:rPr>
          <w:rFonts w:ascii="Times New Roman" w:hAnsi="Times New Roman" w:cs="Times New Roman"/>
          <w:b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190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190C0A">
        <w:rPr>
          <w:rFonts w:ascii="Times New Roman" w:hAnsi="Times New Roman" w:cs="Times New Roman"/>
          <w:sz w:val="24"/>
          <w:szCs w:val="24"/>
        </w:rPr>
        <w:t>ating for activated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T-cell subsets </w:t>
      </w:r>
      <w:r w:rsidRPr="00364C0B">
        <w:rPr>
          <w:rFonts w:ascii="Times New Roman" w:hAnsi="Times New Roman" w:cs="Times New Roman"/>
          <w:b/>
          <w:sz w:val="24"/>
          <w:szCs w:val="24"/>
        </w:rPr>
        <w:t>b</w:t>
      </w:r>
      <w:r w:rsidRPr="00190C0A">
        <w:rPr>
          <w:rFonts w:ascii="Times New Roman" w:hAnsi="Times New Roman" w:cs="Times New Roman"/>
          <w:sz w:val="24"/>
          <w:szCs w:val="24"/>
        </w:rPr>
        <w:t xml:space="preserve"> and activated 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T-cell subsets </w:t>
      </w:r>
      <w:r w:rsidRPr="00364C0B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C0A">
        <w:rPr>
          <w:rFonts w:ascii="Times New Roman" w:hAnsi="Times New Roman" w:cs="Times New Roman"/>
          <w:sz w:val="24"/>
          <w:szCs w:val="24"/>
        </w:rPr>
        <w:t>with CD38 and</w:t>
      </w:r>
      <w:r>
        <w:rPr>
          <w:rFonts w:ascii="Times New Roman" w:hAnsi="Times New Roman" w:cs="Times New Roman" w:hint="eastAsia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190C0A">
        <w:rPr>
          <w:rFonts w:ascii="Times New Roman" w:hAnsi="Times New Roman" w:cs="Times New Roman"/>
          <w:sz w:val="24"/>
          <w:szCs w:val="24"/>
        </w:rPr>
        <w:t xml:space="preserve"> HLA-DR expression.</w:t>
      </w:r>
    </w:p>
    <w:p w14:paraId="5D0B42B8" w14:textId="77777777" w:rsidR="008923EB" w:rsidRDefault="008923EB" w:rsidP="008923E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8923E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0B7DFD" w14:textId="77777777" w:rsidR="008923EB" w:rsidRDefault="008923EB" w:rsidP="008923E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AD6818" wp14:editId="2E7F12EC">
            <wp:extent cx="5274310" cy="6962775"/>
            <wp:effectExtent l="0" t="0" r="254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1107" w14:textId="77777777" w:rsidR="008923EB" w:rsidRDefault="008923EB" w:rsidP="008923E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0C0A">
        <w:rPr>
          <w:rFonts w:ascii="Times New Roman" w:hAnsi="Times New Roman" w:cs="Times New Roman"/>
          <w:b/>
          <w:bCs/>
          <w:sz w:val="24"/>
          <w:szCs w:val="24"/>
        </w:rPr>
        <w:t>Supplementary Figure 2. Gating for memory T-cell subsets and PD-1</w:t>
      </w:r>
      <w:r w:rsidRPr="00190C0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b/>
          <w:bCs/>
          <w:sz w:val="24"/>
          <w:szCs w:val="24"/>
        </w:rPr>
        <w:t xml:space="preserve"> cells in memory T-cell subsets by flow cytometry. </w:t>
      </w:r>
      <w:r w:rsidRPr="00364C0B">
        <w:rPr>
          <w:rFonts w:ascii="Times New Roman" w:hAnsi="Times New Roman" w:cs="Times New Roman"/>
          <w:b/>
          <w:sz w:val="24"/>
          <w:szCs w:val="24"/>
        </w:rPr>
        <w:t>a-b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0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190C0A">
        <w:rPr>
          <w:rFonts w:ascii="Times New Roman" w:hAnsi="Times New Roman" w:cs="Times New Roman"/>
          <w:sz w:val="24"/>
          <w:szCs w:val="24"/>
        </w:rPr>
        <w:t>ating for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memory T-cell subsets </w:t>
      </w:r>
      <w:r w:rsidRPr="00364C0B">
        <w:rPr>
          <w:rFonts w:ascii="Times New Roman" w:hAnsi="Times New Roman" w:cs="Times New Roman"/>
          <w:b/>
          <w:sz w:val="24"/>
          <w:szCs w:val="24"/>
        </w:rPr>
        <w:t>a</w:t>
      </w:r>
      <w:r w:rsidRPr="00190C0A">
        <w:rPr>
          <w:rFonts w:ascii="Times New Roman" w:hAnsi="Times New Roman" w:cs="Times New Roman"/>
          <w:sz w:val="24"/>
          <w:szCs w:val="24"/>
        </w:rPr>
        <w:t xml:space="preserve"> and 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memory T-cell subsets </w:t>
      </w:r>
      <w:r w:rsidRPr="00364C0B">
        <w:rPr>
          <w:rFonts w:ascii="Times New Roman" w:hAnsi="Times New Roman" w:cs="Times New Roman"/>
          <w:b/>
          <w:sz w:val="24"/>
          <w:szCs w:val="24"/>
        </w:rPr>
        <w:t>b</w:t>
      </w:r>
      <w:r w:rsidRPr="00190C0A">
        <w:rPr>
          <w:rFonts w:ascii="Times New Roman" w:hAnsi="Times New Roman" w:cs="Times New Roman"/>
          <w:sz w:val="24"/>
          <w:szCs w:val="24"/>
        </w:rPr>
        <w:t xml:space="preserve"> with CCR7 and CD45RA expression (T</w:t>
      </w:r>
      <w:r w:rsidRPr="00190C0A">
        <w:rPr>
          <w:rFonts w:ascii="Times New Roman" w:hAnsi="Times New Roman" w:cs="Times New Roman"/>
          <w:sz w:val="24"/>
          <w:szCs w:val="24"/>
          <w:vertAlign w:val="subscript"/>
        </w:rPr>
        <w:t>CM</w:t>
      </w:r>
      <w:r w:rsidRPr="00190C0A">
        <w:rPr>
          <w:rFonts w:ascii="Times New Roman" w:hAnsi="Times New Roman" w:cs="Times New Roman"/>
          <w:sz w:val="24"/>
          <w:szCs w:val="24"/>
        </w:rPr>
        <w:t>,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/CD8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CCR7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CD45RA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190C0A">
        <w:rPr>
          <w:rFonts w:ascii="Times New Roman" w:hAnsi="Times New Roman" w:cs="Times New Roman"/>
          <w:sz w:val="24"/>
          <w:szCs w:val="24"/>
        </w:rPr>
        <w:t xml:space="preserve">, blue dot plot; </w:t>
      </w:r>
      <w:proofErr w:type="spellStart"/>
      <w:r w:rsidRPr="00190C0A">
        <w:rPr>
          <w:rFonts w:ascii="Times New Roman" w:hAnsi="Times New Roman" w:cs="Times New Roman"/>
          <w:sz w:val="24"/>
          <w:szCs w:val="24"/>
        </w:rPr>
        <w:t>T</w:t>
      </w:r>
      <w:r w:rsidRPr="00190C0A">
        <w:rPr>
          <w:rFonts w:ascii="Times New Roman" w:hAnsi="Times New Roman" w:cs="Times New Roman"/>
          <w:sz w:val="24"/>
          <w:szCs w:val="24"/>
          <w:vertAlign w:val="subscript"/>
        </w:rPr>
        <w:t>Naïve</w:t>
      </w:r>
      <w:proofErr w:type="spellEnd"/>
      <w:r w:rsidRPr="00190C0A">
        <w:rPr>
          <w:rFonts w:ascii="Times New Roman" w:hAnsi="Times New Roman" w:cs="Times New Roman"/>
          <w:sz w:val="24"/>
          <w:szCs w:val="24"/>
        </w:rPr>
        <w:t>,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/CD8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CCR7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CD45RA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, orange dot plot; T</w:t>
      </w:r>
      <w:r w:rsidRPr="00190C0A">
        <w:rPr>
          <w:rFonts w:ascii="Times New Roman" w:hAnsi="Times New Roman" w:cs="Times New Roman"/>
          <w:sz w:val="24"/>
          <w:szCs w:val="24"/>
          <w:vertAlign w:val="subscript"/>
        </w:rPr>
        <w:t>EM</w:t>
      </w:r>
      <w:r w:rsidRPr="00190C0A">
        <w:rPr>
          <w:rFonts w:ascii="Times New Roman" w:hAnsi="Times New Roman" w:cs="Times New Roman"/>
          <w:sz w:val="24"/>
          <w:szCs w:val="24"/>
        </w:rPr>
        <w:t>,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/CD8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CCR7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190C0A">
        <w:rPr>
          <w:rFonts w:ascii="Times New Roman" w:hAnsi="Times New Roman" w:cs="Times New Roman"/>
          <w:sz w:val="24"/>
          <w:szCs w:val="24"/>
        </w:rPr>
        <w:t xml:space="preserve"> CD45RA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190C0A">
        <w:rPr>
          <w:rFonts w:ascii="Times New Roman" w:hAnsi="Times New Roman" w:cs="Times New Roman"/>
          <w:sz w:val="24"/>
          <w:szCs w:val="24"/>
        </w:rPr>
        <w:t>, light green dot plot; T</w:t>
      </w:r>
      <w:r w:rsidRPr="00190C0A">
        <w:rPr>
          <w:rFonts w:ascii="Times New Roman" w:hAnsi="Times New Roman" w:cs="Times New Roman"/>
          <w:sz w:val="24"/>
          <w:szCs w:val="24"/>
          <w:vertAlign w:val="subscript"/>
        </w:rPr>
        <w:t>EMRA</w:t>
      </w:r>
      <w:r w:rsidRPr="00190C0A">
        <w:rPr>
          <w:rFonts w:ascii="Times New Roman" w:hAnsi="Times New Roman" w:cs="Times New Roman"/>
          <w:sz w:val="24"/>
          <w:szCs w:val="24"/>
        </w:rPr>
        <w:t>,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/CD8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CCR7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190C0A">
        <w:rPr>
          <w:rFonts w:ascii="Times New Roman" w:hAnsi="Times New Roman" w:cs="Times New Roman"/>
          <w:sz w:val="24"/>
          <w:szCs w:val="24"/>
        </w:rPr>
        <w:t xml:space="preserve"> CD45RA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Hlk58790657"/>
      <w:r w:rsidRPr="00190C0A">
        <w:rPr>
          <w:rFonts w:ascii="Times New Roman" w:hAnsi="Times New Roman" w:cs="Times New Roman"/>
          <w:sz w:val="24"/>
          <w:szCs w:val="24"/>
        </w:rPr>
        <w:t>dark green</w:t>
      </w:r>
      <w:bookmarkEnd w:id="0"/>
      <w:r w:rsidRPr="00190C0A">
        <w:rPr>
          <w:rFonts w:ascii="Times New Roman" w:hAnsi="Times New Roman" w:cs="Times New Roman"/>
          <w:sz w:val="24"/>
          <w:szCs w:val="24"/>
        </w:rPr>
        <w:t xml:space="preserve"> dot plot). </w:t>
      </w:r>
      <w:r w:rsidRPr="00364C0B">
        <w:rPr>
          <w:rFonts w:ascii="Times New Roman" w:hAnsi="Times New Roman" w:cs="Times New Roman"/>
          <w:b/>
          <w:sz w:val="24"/>
          <w:szCs w:val="24"/>
        </w:rPr>
        <w:t>c-d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90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190C0A">
        <w:rPr>
          <w:rFonts w:ascii="Times New Roman" w:hAnsi="Times New Roman" w:cs="Times New Roman"/>
          <w:sz w:val="24"/>
          <w:szCs w:val="24"/>
        </w:rPr>
        <w:t>ating for 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cells in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memory T-cell subsets </w:t>
      </w:r>
      <w:r w:rsidRPr="00364C0B">
        <w:rPr>
          <w:rFonts w:ascii="Times New Roman" w:hAnsi="Times New Roman" w:cs="Times New Roman"/>
          <w:b/>
          <w:sz w:val="24"/>
          <w:szCs w:val="24"/>
        </w:rPr>
        <w:t>c</w:t>
      </w:r>
      <w:r w:rsidRPr="00190C0A">
        <w:rPr>
          <w:rFonts w:ascii="Times New Roman" w:hAnsi="Times New Roman" w:cs="Times New Roman"/>
          <w:sz w:val="24"/>
          <w:szCs w:val="24"/>
        </w:rPr>
        <w:t xml:space="preserve"> and 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cells in 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memory T-cell subsets </w:t>
      </w:r>
      <w:r w:rsidRPr="00364C0B">
        <w:rPr>
          <w:rFonts w:ascii="Times New Roman" w:hAnsi="Times New Roman" w:cs="Times New Roman"/>
          <w:b/>
          <w:sz w:val="24"/>
          <w:szCs w:val="24"/>
        </w:rPr>
        <w:t>d</w:t>
      </w:r>
      <w:r w:rsidRPr="00190C0A">
        <w:rPr>
          <w:rFonts w:ascii="Times New Roman" w:hAnsi="Times New Roman" w:cs="Times New Roman"/>
          <w:sz w:val="24"/>
          <w:szCs w:val="24"/>
        </w:rPr>
        <w:t xml:space="preserve"> (PD-1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T</w:t>
      </w:r>
      <w:r w:rsidRPr="00190C0A">
        <w:rPr>
          <w:rFonts w:ascii="Times New Roman" w:hAnsi="Times New Roman" w:cs="Times New Roman"/>
          <w:sz w:val="24"/>
          <w:szCs w:val="24"/>
          <w:vertAlign w:val="subscript"/>
        </w:rPr>
        <w:t>CM</w:t>
      </w:r>
      <w:r w:rsidRPr="00190C0A">
        <w:rPr>
          <w:rFonts w:ascii="Times New Roman" w:hAnsi="Times New Roman" w:cs="Times New Roman"/>
          <w:sz w:val="24"/>
          <w:szCs w:val="24"/>
        </w:rPr>
        <w:t xml:space="preserve">, </w:t>
      </w:r>
      <w:r w:rsidRPr="00190C0A">
        <w:rPr>
          <w:rFonts w:ascii="Times New Roman" w:hAnsi="Times New Roman" w:cs="Times New Roman"/>
          <w:sz w:val="24"/>
          <w:szCs w:val="24"/>
        </w:rPr>
        <w:lastRenderedPageBreak/>
        <w:t>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/CD8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CCR7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CD45RA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190C0A">
        <w:rPr>
          <w:rFonts w:ascii="Times New Roman" w:hAnsi="Times New Roman" w:cs="Times New Roman"/>
          <w:sz w:val="24"/>
          <w:szCs w:val="24"/>
        </w:rPr>
        <w:t>, blue zebra plot; 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C0A">
        <w:rPr>
          <w:rFonts w:ascii="Times New Roman" w:hAnsi="Times New Roman" w:cs="Times New Roman"/>
          <w:sz w:val="24"/>
          <w:szCs w:val="24"/>
        </w:rPr>
        <w:t>T</w:t>
      </w:r>
      <w:r w:rsidRPr="001D61C4">
        <w:rPr>
          <w:rFonts w:ascii="Times New Roman" w:hAnsi="Times New Roman" w:cs="Times New Roman"/>
          <w:sz w:val="24"/>
          <w:szCs w:val="24"/>
          <w:vertAlign w:val="subscript"/>
        </w:rPr>
        <w:t>Naïve</w:t>
      </w:r>
      <w:proofErr w:type="spellEnd"/>
      <w:r w:rsidRPr="00190C0A">
        <w:rPr>
          <w:rFonts w:ascii="Times New Roman" w:hAnsi="Times New Roman" w:cs="Times New Roman"/>
          <w:sz w:val="24"/>
          <w:szCs w:val="24"/>
        </w:rPr>
        <w:t>,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/CD8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CCR7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CD45RA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, orange zebra plot; 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TEM,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/CD8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CCR7-CD45RA-, light green zebra plot; 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 xml:space="preserve"> TEMRA, CD4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/CD8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PD-1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90C0A">
        <w:rPr>
          <w:rFonts w:ascii="Times New Roman" w:hAnsi="Times New Roman" w:cs="Times New Roman"/>
          <w:sz w:val="24"/>
          <w:szCs w:val="24"/>
        </w:rPr>
        <w:t>CCR7-CD45RA</w:t>
      </w:r>
      <w:r w:rsidRPr="00190C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90C0A">
        <w:rPr>
          <w:rFonts w:ascii="Times New Roman" w:hAnsi="Times New Roman" w:cs="Times New Roman"/>
          <w:sz w:val="24"/>
          <w:szCs w:val="24"/>
        </w:rPr>
        <w:t>, dark green zebra plot)</w:t>
      </w:r>
    </w:p>
    <w:p w14:paraId="7CB30345" w14:textId="77777777" w:rsidR="008923EB" w:rsidRDefault="008923EB" w:rsidP="008923E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8923E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916413" w14:textId="77777777" w:rsidR="008923EB" w:rsidRDefault="008923EB" w:rsidP="008923E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05B608" wp14:editId="622549FD">
            <wp:extent cx="5274310" cy="5829300"/>
            <wp:effectExtent l="0" t="0" r="0" b="0"/>
            <wp:docPr id="8" name="图片 8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示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3067" w14:textId="77777777" w:rsidR="008923EB" w:rsidRPr="00D214AE" w:rsidRDefault="008923EB" w:rsidP="008923EB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0C0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3. Comparison of cytokines between SS and SN, </w:t>
      </w:r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190C0A">
        <w:rPr>
          <w:rFonts w:ascii="Times New Roman" w:hAnsi="Times New Roman" w:cs="Times New Roman"/>
          <w:b/>
          <w:bCs/>
          <w:sz w:val="24"/>
          <w:szCs w:val="24"/>
        </w:rPr>
        <w:t xml:space="preserve"> between SR and SE.</w:t>
      </w:r>
      <w:r w:rsidRPr="00190C0A">
        <w:rPr>
          <w:rFonts w:ascii="Times New Roman" w:hAnsi="Times New Roman" w:cs="Times New Roman"/>
          <w:sz w:val="24"/>
          <w:szCs w:val="24"/>
        </w:rPr>
        <w:t xml:space="preserve"> Cytokines were detected in serum of SIV-infected macaques at the indicated phase. Levels (</w:t>
      </w:r>
      <w:proofErr w:type="spellStart"/>
      <w:r w:rsidRPr="00190C0A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190C0A">
        <w:rPr>
          <w:rFonts w:ascii="Times New Roman" w:hAnsi="Times New Roman" w:cs="Times New Roman"/>
          <w:sz w:val="24"/>
          <w:szCs w:val="24"/>
        </w:rPr>
        <w:t xml:space="preserve">/ml) of IFN-γ, IL-10, TGF-β1, IL-1β, IL-6, TNF-α, IL-2, IL-8, MIP-1β, MCP-1 and IP-10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190C0A">
        <w:rPr>
          <w:rFonts w:ascii="Times New Roman" w:hAnsi="Times New Roman" w:cs="Times New Roman"/>
          <w:sz w:val="24"/>
          <w:szCs w:val="24"/>
        </w:rPr>
        <w:t xml:space="preserve"> measured and </w:t>
      </w:r>
      <w:r>
        <w:rPr>
          <w:rFonts w:ascii="Times New Roman" w:hAnsi="Times New Roman" w:cs="Times New Roman"/>
          <w:sz w:val="24"/>
          <w:szCs w:val="24"/>
        </w:rPr>
        <w:t>assessed</w:t>
      </w:r>
      <w:r w:rsidRPr="00190C0A">
        <w:rPr>
          <w:rFonts w:ascii="Times New Roman" w:hAnsi="Times New Roman" w:cs="Times New Roman"/>
          <w:sz w:val="24"/>
          <w:szCs w:val="24"/>
        </w:rPr>
        <w:t xml:space="preserve"> by paired </w:t>
      </w:r>
      <w:r w:rsidRPr="00190C0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90C0A">
        <w:rPr>
          <w:rFonts w:ascii="Times New Roman" w:hAnsi="Times New Roman" w:cs="Times New Roman"/>
          <w:sz w:val="24"/>
          <w:szCs w:val="24"/>
        </w:rPr>
        <w:t xml:space="preserve">-test in SS vs SN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190C0A">
        <w:rPr>
          <w:rFonts w:ascii="Times New Roman" w:hAnsi="Times New Roman" w:cs="Times New Roman"/>
          <w:sz w:val="24"/>
          <w:szCs w:val="24"/>
        </w:rPr>
        <w:t xml:space="preserve"> SR vs SE. Data shown are the mean ± SD from three independent experiments. (*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C0A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0C0A">
        <w:rPr>
          <w:rFonts w:ascii="Times New Roman" w:hAnsi="Times New Roman" w:cs="Times New Roman"/>
          <w:sz w:val="24"/>
          <w:szCs w:val="24"/>
        </w:rPr>
        <w:t>&lt; 0.05, **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C0A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0C0A">
        <w:rPr>
          <w:rFonts w:ascii="Times New Roman" w:hAnsi="Times New Roman" w:cs="Times New Roman"/>
          <w:sz w:val="24"/>
          <w:szCs w:val="24"/>
        </w:rPr>
        <w:t>&lt; 0.01)</w:t>
      </w:r>
    </w:p>
    <w:p w14:paraId="368453F1" w14:textId="77777777" w:rsidR="00F86F7E" w:rsidRDefault="00F86F7E"/>
    <w:sectPr w:rsidR="00F86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EB"/>
    <w:rsid w:val="008923EB"/>
    <w:rsid w:val="00F8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4430F"/>
  <w15:chartTrackingRefBased/>
  <w15:docId w15:val="{589EE478-ED2C-4334-9BA6-96E37C54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3EB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Rynn</dc:creator>
  <cp:keywords/>
  <dc:description/>
  <cp:lastModifiedBy>Kevin Rynn</cp:lastModifiedBy>
  <cp:revision>1</cp:revision>
  <dcterms:created xsi:type="dcterms:W3CDTF">2021-02-28T01:49:00Z</dcterms:created>
  <dcterms:modified xsi:type="dcterms:W3CDTF">2021-02-28T01:50:00Z</dcterms:modified>
</cp:coreProperties>
</file>