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651" w:type="dxa"/>
        <w:tblInd w:w="-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2520"/>
        <w:gridCol w:w="3330"/>
        <w:gridCol w:w="2250"/>
      </w:tblGrid>
      <w:tr w:rsidR="00CF4B13" w:rsidRPr="00991ADD" w14:paraId="35DA18BA" w14:textId="77777777" w:rsidTr="00A20E11">
        <w:tc>
          <w:tcPr>
            <w:tcW w:w="12651" w:type="dxa"/>
            <w:gridSpan w:val="4"/>
            <w:tcBorders>
              <w:bottom w:val="single" w:sz="4" w:space="0" w:color="auto"/>
            </w:tcBorders>
          </w:tcPr>
          <w:p w14:paraId="0FB535B5" w14:textId="49598626" w:rsidR="00CF4B13" w:rsidRPr="00991ADD" w:rsidRDefault="00CF4B13" w:rsidP="00CF4B13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Table </w:t>
            </w:r>
            <w:r w:rsidR="00841D5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A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Unadjusted associations with SCD-plus assessed categorically via endorsement of worries about memory complaints (</w:t>
            </w:r>
            <w:r w:rsidRPr="0053143C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= 491)</w:t>
            </w:r>
          </w:p>
        </w:tc>
      </w:tr>
      <w:tr w:rsidR="00A20E11" w:rsidRPr="00991ADD" w14:paraId="79C184EA" w14:textId="77777777" w:rsidTr="00A20E11"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</w:tcPr>
          <w:p w14:paraId="0AF36559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3683CFA4" w14:textId="48830715" w:rsidR="00CF4B13" w:rsidRPr="00991ADD" w:rsidRDefault="00A20E11" w:rsidP="00470BDD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Worries</w:t>
            </w:r>
            <w:r w:rsidR="00FE5139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about m</w:t>
            </w:r>
            <w:r w:rsidR="00CF4B1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emory complaints </w:t>
            </w:r>
            <w:r w:rsidR="00CF4B13" w:rsidRPr="00F60207">
              <w:rPr>
                <w:rFonts w:ascii="Calibri" w:hAnsi="Calibri"/>
                <w:color w:val="000000" w:themeColor="text1"/>
                <w:sz w:val="18"/>
                <w:szCs w:val="18"/>
              </w:rPr>
              <w:t>(binary)</w:t>
            </w:r>
          </w:p>
        </w:tc>
      </w:tr>
      <w:tr w:rsidR="00A20E11" w:rsidRPr="00991ADD" w14:paraId="7E15DB24" w14:textId="77777777" w:rsidTr="00A20E11">
        <w:tc>
          <w:tcPr>
            <w:tcW w:w="4551" w:type="dxa"/>
            <w:shd w:val="clear" w:color="auto" w:fill="auto"/>
          </w:tcPr>
          <w:p w14:paraId="10150A02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100" w:type="dxa"/>
            <w:gridSpan w:val="3"/>
          </w:tcPr>
          <w:p w14:paraId="122DB217" w14:textId="77777777" w:rsidR="00CF4B13" w:rsidRPr="00991ADD" w:rsidRDefault="00CF4B13" w:rsidP="00FE5139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Univariable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logistic</w:t>
            </w:r>
            <w:r w:rsidRPr="00991AD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regression models</w:t>
            </w:r>
          </w:p>
        </w:tc>
      </w:tr>
      <w:tr w:rsidR="00A20E11" w:rsidRPr="00991ADD" w14:paraId="2B919046" w14:textId="77777777" w:rsidTr="00A20E11">
        <w:trPr>
          <w:trHeight w:val="324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</w:tcPr>
          <w:p w14:paraId="2784FC86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Explanatory variable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D871AE" w14:textId="72E0CC7C" w:rsidR="00CF4B13" w:rsidRPr="00FF3F31" w:rsidRDefault="00CF4B13" w:rsidP="00470BDD">
            <w:pPr>
              <w:spacing w:line="360" w:lineRule="auto"/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Odds ratio</w:t>
            </w:r>
            <w:r w:rsidR="003C42E5" w:rsidRPr="00A33CA2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18DE140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B072134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>p</w:t>
            </w:r>
            <w:r w:rsidRPr="00991AD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A20E11" w:rsidRPr="00991ADD" w14:paraId="28FB34EC" w14:textId="77777777" w:rsidTr="00A20E11">
        <w:tc>
          <w:tcPr>
            <w:tcW w:w="4551" w:type="dxa"/>
            <w:tcBorders>
              <w:top w:val="single" w:sz="4" w:space="0" w:color="auto"/>
            </w:tcBorders>
          </w:tcPr>
          <w:p w14:paraId="0A5892BE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Age (1 year)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302372D" w14:textId="08395B15" w:rsidR="00CF4B13" w:rsidRPr="007E6A42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1.0</w:t>
            </w:r>
            <w:r w:rsidR="00FE5139">
              <w:rPr>
                <w:rFonts w:ascii="Calibri" w:hAnsi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70B7D03" w14:textId="2924CC0F" w:rsidR="00CF4B13" w:rsidRPr="007E6A42" w:rsidRDefault="00FE5139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0.95</w:t>
            </w:r>
            <w:r w:rsidR="00CF4B13" w:rsidRPr="007E6A4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>1</w:t>
            </w:r>
            <w:r w:rsidR="00CF4B13" w:rsidRPr="007E6A42">
              <w:rPr>
                <w:rFonts w:ascii="Calibri" w:hAnsi="Calibri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EC79064" w14:textId="46F71E0B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</w:t>
            </w:r>
            <w:r w:rsidR="00FE5139">
              <w:rPr>
                <w:rFonts w:ascii="Calibri" w:hAnsi="Calibri"/>
                <w:color w:val="000000" w:themeColor="text1"/>
                <w:sz w:val="18"/>
                <w:szCs w:val="18"/>
              </w:rPr>
              <w:t>943</w:t>
            </w:r>
          </w:p>
        </w:tc>
      </w:tr>
      <w:tr w:rsidR="00A20E11" w:rsidRPr="00991ADD" w14:paraId="05484242" w14:textId="77777777" w:rsidTr="00A20E11">
        <w:tc>
          <w:tcPr>
            <w:tcW w:w="4551" w:type="dxa"/>
          </w:tcPr>
          <w:p w14:paraId="4829FBCE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Female (vs male) </w:t>
            </w:r>
          </w:p>
        </w:tc>
        <w:tc>
          <w:tcPr>
            <w:tcW w:w="2520" w:type="dxa"/>
          </w:tcPr>
          <w:p w14:paraId="0DADDEE9" w14:textId="421F095A" w:rsidR="00CF4B13" w:rsidRPr="007E6A42" w:rsidRDefault="00FE5139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1.08</w:t>
            </w:r>
          </w:p>
        </w:tc>
        <w:tc>
          <w:tcPr>
            <w:tcW w:w="3330" w:type="dxa"/>
          </w:tcPr>
          <w:p w14:paraId="624D58A6" w14:textId="63549657" w:rsidR="00CF4B13" w:rsidRPr="007E6A42" w:rsidRDefault="00E356EE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0.65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1.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7</w:t>
            </w:r>
            <w:r w:rsidR="004A09D5">
              <w:rPr>
                <w:rFonts w:ascii="Calibri" w:hAnsi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14:paraId="4C4EC77F" w14:textId="758ACD92" w:rsidR="00CF4B13" w:rsidRPr="00991ADD" w:rsidRDefault="00FE5139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</w:t>
            </w:r>
            <w:r w:rsidR="00E356EE">
              <w:rPr>
                <w:rFonts w:ascii="Calibri" w:hAnsi="Calibri"/>
                <w:color w:val="000000" w:themeColor="text1"/>
                <w:sz w:val="18"/>
                <w:szCs w:val="18"/>
              </w:rPr>
              <w:t>775</w:t>
            </w:r>
          </w:p>
        </w:tc>
      </w:tr>
      <w:tr w:rsidR="00A20E11" w:rsidRPr="00991ADD" w14:paraId="1F9369E2" w14:textId="77777777" w:rsidTr="00A20E11">
        <w:tc>
          <w:tcPr>
            <w:tcW w:w="4551" w:type="dxa"/>
          </w:tcPr>
          <w:p w14:paraId="40229FC4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Education (1 year)</w:t>
            </w:r>
          </w:p>
        </w:tc>
        <w:tc>
          <w:tcPr>
            <w:tcW w:w="2520" w:type="dxa"/>
          </w:tcPr>
          <w:p w14:paraId="0B57E81D" w14:textId="77777777" w:rsidR="00CF4B13" w:rsidRPr="007E6A42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1.01</w:t>
            </w:r>
          </w:p>
        </w:tc>
        <w:tc>
          <w:tcPr>
            <w:tcW w:w="3330" w:type="dxa"/>
          </w:tcPr>
          <w:p w14:paraId="46706612" w14:textId="0AC8EE8A" w:rsidR="00CF4B13" w:rsidRPr="007E6A42" w:rsidRDefault="00E6124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0.93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1.08</w:t>
            </w:r>
          </w:p>
        </w:tc>
        <w:tc>
          <w:tcPr>
            <w:tcW w:w="2250" w:type="dxa"/>
          </w:tcPr>
          <w:p w14:paraId="61088998" w14:textId="11662861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</w:t>
            </w:r>
            <w:r w:rsidR="00E61241">
              <w:rPr>
                <w:rFonts w:ascii="Calibri" w:hAnsi="Calibri"/>
                <w:color w:val="000000" w:themeColor="text1"/>
                <w:sz w:val="18"/>
                <w:szCs w:val="18"/>
              </w:rPr>
              <w:t>886</w:t>
            </w:r>
          </w:p>
        </w:tc>
      </w:tr>
      <w:tr w:rsidR="00A20E11" w:rsidRPr="00991ADD" w14:paraId="7155C91E" w14:textId="77777777" w:rsidTr="00A20E11">
        <w:tc>
          <w:tcPr>
            <w:tcW w:w="4551" w:type="dxa"/>
          </w:tcPr>
          <w:p w14:paraId="7551B886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z w:val="18"/>
                <w:szCs w:val="18"/>
              </w:rPr>
              <w:t>Repetitive negative thinking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(1 </w:t>
            </w:r>
            <w:proofErr w:type="gramStart"/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  <w:r w:rsidRPr="009C612E">
              <w:rPr>
                <w:rFonts w:ascii="Calibri" w:hAnsi="Calibri"/>
                <w:sz w:val="18"/>
                <w:szCs w:val="18"/>
                <w:vertAlign w:val="superscript"/>
              </w:rPr>
              <w:t>§</w:t>
            </w:r>
            <w:proofErr w:type="gramEnd"/>
          </w:p>
        </w:tc>
        <w:tc>
          <w:tcPr>
            <w:tcW w:w="2520" w:type="dxa"/>
          </w:tcPr>
          <w:p w14:paraId="5B20DA13" w14:textId="745C70EB" w:rsidR="00CF4B13" w:rsidRPr="00615829" w:rsidRDefault="00E6124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2.18</w:t>
            </w:r>
          </w:p>
        </w:tc>
        <w:tc>
          <w:tcPr>
            <w:tcW w:w="3330" w:type="dxa"/>
          </w:tcPr>
          <w:p w14:paraId="165AEC3D" w14:textId="7D89167A" w:rsidR="00CF4B13" w:rsidRPr="002D2FF5" w:rsidRDefault="00E6124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1.68 to 2.82</w:t>
            </w:r>
          </w:p>
        </w:tc>
        <w:tc>
          <w:tcPr>
            <w:tcW w:w="2250" w:type="dxa"/>
          </w:tcPr>
          <w:p w14:paraId="392591C3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20E11" w:rsidRPr="00991ADD" w14:paraId="5E8D9799" w14:textId="77777777" w:rsidTr="00A20E11">
        <w:tc>
          <w:tcPr>
            <w:tcW w:w="4551" w:type="dxa"/>
          </w:tcPr>
          <w:p w14:paraId="03117797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Rumination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(1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5025A0B7" w14:textId="5981840B" w:rsidR="00CF4B13" w:rsidRPr="00615829" w:rsidRDefault="00A25642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1.44</w:t>
            </w:r>
          </w:p>
        </w:tc>
        <w:tc>
          <w:tcPr>
            <w:tcW w:w="3330" w:type="dxa"/>
          </w:tcPr>
          <w:p w14:paraId="4E93638D" w14:textId="658B58A7" w:rsidR="00CF4B13" w:rsidRPr="002D2FF5" w:rsidRDefault="00A25642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1.14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1.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2250" w:type="dxa"/>
          </w:tcPr>
          <w:p w14:paraId="075EE541" w14:textId="3766CF55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0.0</w:t>
            </w:r>
            <w:r w:rsidR="00A25642">
              <w:rPr>
                <w:rFonts w:ascii="Calibri" w:hAnsi="Calibr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A20E11" w:rsidRPr="00991ADD" w14:paraId="427FBB49" w14:textId="77777777" w:rsidTr="00A20E11">
        <w:tc>
          <w:tcPr>
            <w:tcW w:w="4551" w:type="dxa"/>
          </w:tcPr>
          <w:p w14:paraId="78FDB021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Worry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(1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375AE33E" w14:textId="46AAD710" w:rsidR="00CF4B13" w:rsidRPr="00615829" w:rsidRDefault="002D0CF4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1.78</w:t>
            </w:r>
          </w:p>
        </w:tc>
        <w:tc>
          <w:tcPr>
            <w:tcW w:w="3330" w:type="dxa"/>
          </w:tcPr>
          <w:p w14:paraId="34CC81BD" w14:textId="7D36659E" w:rsidR="00CF4B13" w:rsidRPr="002D2FF5" w:rsidRDefault="002D0CF4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1.40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2.27</w:t>
            </w:r>
          </w:p>
        </w:tc>
        <w:tc>
          <w:tcPr>
            <w:tcW w:w="2250" w:type="dxa"/>
          </w:tcPr>
          <w:p w14:paraId="2499FCB0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20E11" w:rsidRPr="00991ADD" w14:paraId="1F399B69" w14:textId="77777777" w:rsidTr="00A20E11">
        <w:tc>
          <w:tcPr>
            <w:tcW w:w="4551" w:type="dxa"/>
          </w:tcPr>
          <w:p w14:paraId="3940C712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Purpose in life (1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0521D86E" w14:textId="7A82CA8E" w:rsidR="00CF4B13" w:rsidRPr="00615829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0.6</w:t>
            </w:r>
            <w:r w:rsidR="002B37E1">
              <w:rPr>
                <w:rFonts w:ascii="Calibri" w:hAnsi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30" w:type="dxa"/>
          </w:tcPr>
          <w:p w14:paraId="7E78B419" w14:textId="6CB3694A" w:rsidR="00CF4B13" w:rsidRPr="002D2FF5" w:rsidRDefault="002B37E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0.48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0.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250" w:type="dxa"/>
          </w:tcPr>
          <w:p w14:paraId="77A20F80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20E11" w:rsidRPr="00991ADD" w14:paraId="7BECE455" w14:textId="77777777" w:rsidTr="00A20E11">
        <w:trPr>
          <w:trHeight w:val="288"/>
        </w:trPr>
        <w:tc>
          <w:tcPr>
            <w:tcW w:w="4551" w:type="dxa"/>
          </w:tcPr>
          <w:p w14:paraId="000BD301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Openness to experience (1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60AA8841" w14:textId="1FBC1D75" w:rsidR="00CF4B13" w:rsidRPr="00615829" w:rsidRDefault="001574EF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330" w:type="dxa"/>
          </w:tcPr>
          <w:p w14:paraId="093A1CFB" w14:textId="13EA05B9" w:rsidR="00CF4B13" w:rsidRPr="002D2FF5" w:rsidRDefault="001574EF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0.74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1.2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0" w:type="dxa"/>
          </w:tcPr>
          <w:p w14:paraId="1576717F" w14:textId="5E250129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</w:t>
            </w:r>
            <w:r w:rsidR="001574EF">
              <w:rPr>
                <w:rFonts w:ascii="Calibri" w:hAnsi="Calibri"/>
                <w:color w:val="000000" w:themeColor="text1"/>
                <w:sz w:val="18"/>
                <w:szCs w:val="18"/>
              </w:rPr>
              <w:t>636</w:t>
            </w:r>
          </w:p>
        </w:tc>
      </w:tr>
      <w:tr w:rsidR="00A20E11" w:rsidRPr="00991ADD" w14:paraId="5667ADBC" w14:textId="77777777" w:rsidTr="00A20E11">
        <w:tc>
          <w:tcPr>
            <w:tcW w:w="4551" w:type="dxa"/>
          </w:tcPr>
          <w:p w14:paraId="4A0090DB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Conscientiousness (1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12C204B1" w14:textId="3B5A6627" w:rsidR="00CF4B13" w:rsidRPr="00615829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0.7</w:t>
            </w:r>
            <w:r w:rsidR="00C97F47">
              <w:rPr>
                <w:rFonts w:ascii="Calibri" w:hAnsi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14:paraId="383AB9B1" w14:textId="265597E1" w:rsidR="00CF4B13" w:rsidRPr="002D2FF5" w:rsidRDefault="00C97F47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0.56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0.90</w:t>
            </w:r>
          </w:p>
        </w:tc>
        <w:tc>
          <w:tcPr>
            <w:tcW w:w="2250" w:type="dxa"/>
          </w:tcPr>
          <w:p w14:paraId="3FF28867" w14:textId="525FD3B2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0.00</w:t>
            </w:r>
            <w:r w:rsidR="00C97F47">
              <w:rPr>
                <w:rFonts w:ascii="Calibri" w:hAnsi="Calibri"/>
                <w:color w:val="000000" w:themeColor="text1"/>
                <w:sz w:val="18"/>
                <w:szCs w:val="18"/>
              </w:rPr>
              <w:t>5</w:t>
            </w:r>
          </w:p>
        </w:tc>
      </w:tr>
      <w:tr w:rsidR="00A20E11" w:rsidRPr="00991ADD" w14:paraId="739D3E80" w14:textId="77777777" w:rsidTr="00A20E11">
        <w:tc>
          <w:tcPr>
            <w:tcW w:w="4551" w:type="dxa"/>
          </w:tcPr>
          <w:p w14:paraId="6280E8BA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Extraversion (1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066D02D6" w14:textId="3A3B3330" w:rsidR="00CF4B13" w:rsidRPr="00615829" w:rsidRDefault="003E7740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3330" w:type="dxa"/>
          </w:tcPr>
          <w:p w14:paraId="1F12885D" w14:textId="30F31B4D" w:rsidR="00CF4B13" w:rsidRPr="002D2FF5" w:rsidRDefault="003E7740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0.54 to 0.89</w:t>
            </w:r>
          </w:p>
        </w:tc>
        <w:tc>
          <w:tcPr>
            <w:tcW w:w="2250" w:type="dxa"/>
          </w:tcPr>
          <w:p w14:paraId="2506093D" w14:textId="7A11FC75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0.0</w:t>
            </w:r>
            <w:r w:rsidR="003E7740">
              <w:rPr>
                <w:rFonts w:ascii="Calibri" w:hAnsi="Calibri"/>
                <w:color w:val="000000" w:themeColor="text1"/>
                <w:sz w:val="18"/>
                <w:szCs w:val="18"/>
              </w:rPr>
              <w:t>04</w:t>
            </w:r>
          </w:p>
        </w:tc>
      </w:tr>
      <w:tr w:rsidR="00A20E11" w:rsidRPr="00991ADD" w14:paraId="6A0E57EA" w14:textId="77777777" w:rsidTr="00A20E11">
        <w:tc>
          <w:tcPr>
            <w:tcW w:w="4551" w:type="dxa"/>
          </w:tcPr>
          <w:p w14:paraId="7273B06E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Agreeableness (1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5B445695" w14:textId="1308EF66" w:rsidR="00CF4B13" w:rsidRPr="00615829" w:rsidRDefault="00A61ABD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0.84</w:t>
            </w:r>
          </w:p>
        </w:tc>
        <w:tc>
          <w:tcPr>
            <w:tcW w:w="3330" w:type="dxa"/>
          </w:tcPr>
          <w:p w14:paraId="67BA7E40" w14:textId="3A82067D" w:rsidR="00CF4B13" w:rsidRPr="002D2FF5" w:rsidRDefault="00A61ABD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0.66 to 1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2250" w:type="dxa"/>
          </w:tcPr>
          <w:p w14:paraId="788A3B35" w14:textId="0F90F026" w:rsidR="00CF4B13" w:rsidRPr="00991ADD" w:rsidRDefault="00A61ABD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0.151</w:t>
            </w:r>
          </w:p>
        </w:tc>
      </w:tr>
      <w:tr w:rsidR="00A20E11" w:rsidRPr="00991ADD" w14:paraId="291E395C" w14:textId="77777777" w:rsidTr="00A20E11">
        <w:tc>
          <w:tcPr>
            <w:tcW w:w="4551" w:type="dxa"/>
          </w:tcPr>
          <w:p w14:paraId="434F88FE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Neuroticism (1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5D476212" w14:textId="6CB46336" w:rsidR="00CF4B13" w:rsidRPr="00615829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</w:t>
            </w:r>
            <w:r w:rsidR="00975701">
              <w:rPr>
                <w:rFonts w:ascii="Calibri" w:hAnsi="Calibr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330" w:type="dxa"/>
          </w:tcPr>
          <w:p w14:paraId="168A38AA" w14:textId="5426C7B2" w:rsidR="00CF4B13" w:rsidRPr="002D2FF5" w:rsidRDefault="0097570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1.27 to 2.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14:paraId="4FAC895B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20E11" w:rsidRPr="00991ADD" w14:paraId="198E2A9B" w14:textId="77777777" w:rsidTr="00A20E11">
        <w:tc>
          <w:tcPr>
            <w:tcW w:w="4551" w:type="dxa"/>
            <w:tcBorders>
              <w:bottom w:val="single" w:sz="4" w:space="0" w:color="auto"/>
            </w:tcBorders>
          </w:tcPr>
          <w:p w14:paraId="078B34F9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>Regular meditation practice (vs no practice)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27BF0EE" w14:textId="0D61E73A" w:rsidR="00CF4B13" w:rsidRPr="00615829" w:rsidRDefault="00573D37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1.43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7D67DFA" w14:textId="0B2E1A8F" w:rsidR="00CF4B13" w:rsidRPr="002D2FF5" w:rsidRDefault="00573D37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0.66 to 3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AABBD69" w14:textId="338FE4AC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</w:t>
            </w:r>
            <w:r w:rsidR="00573D37">
              <w:rPr>
                <w:rFonts w:ascii="Calibri" w:hAnsi="Calibri"/>
                <w:color w:val="000000" w:themeColor="text1"/>
                <w:sz w:val="18"/>
                <w:szCs w:val="18"/>
              </w:rPr>
              <w:t>368</w:t>
            </w:r>
          </w:p>
        </w:tc>
      </w:tr>
      <w:tr w:rsidR="00CF4B13" w:rsidRPr="00991ADD" w14:paraId="4934A7A4" w14:textId="77777777" w:rsidTr="00A20E11">
        <w:tc>
          <w:tcPr>
            <w:tcW w:w="12651" w:type="dxa"/>
            <w:gridSpan w:val="4"/>
            <w:tcBorders>
              <w:top w:val="single" w:sz="4" w:space="0" w:color="auto"/>
            </w:tcBorders>
          </w:tcPr>
          <w:p w14:paraId="7E053E64" w14:textId="77777777" w:rsidR="00CF4B13" w:rsidRPr="00991ADD" w:rsidRDefault="00CF4B13" w:rsidP="00470BDD">
            <w:pPr>
              <w:spacing w:line="360" w:lineRule="auto"/>
              <w:rPr>
                <w:rStyle w:val="CommentReference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Abbreviations: </w:t>
            </w:r>
            <w:r w:rsidRPr="0069538E">
              <w:rPr>
                <w:rFonts w:ascii="Calibri" w:hAnsi="Calibri"/>
                <w:i/>
                <w:sz w:val="18"/>
                <w:szCs w:val="18"/>
              </w:rPr>
              <w:t>SCD</w:t>
            </w:r>
            <w:r>
              <w:rPr>
                <w:rFonts w:ascii="Calibri" w:hAnsi="Calibri"/>
                <w:sz w:val="18"/>
                <w:szCs w:val="18"/>
              </w:rPr>
              <w:t xml:space="preserve">, subjective cognitive decline;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, standard deviation</w:t>
            </w:r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991ADD">
              <w:rPr>
                <w:rFonts w:ascii="Calibri" w:hAnsi="Calibri"/>
                <w:sz w:val="18"/>
                <w:szCs w:val="18"/>
              </w:rPr>
              <w:t>CI, confidence interval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FC81F72" w14:textId="0030F55D" w:rsidR="00CF4B13" w:rsidRPr="00FF3F31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33CA2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In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univariable</w:t>
            </w:r>
            <w:proofErr w:type="spellEnd"/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logistic regression models, for binary explanatory variables (sex, regular meditation practice), the estimate describes the odds of </w:t>
            </w:r>
            <w:r w:rsidR="00A20E1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worries about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memory complaints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in one group relative to the reference category (indicated in parentheses). For continuous explanatory variables, the estimate reflects the expected increase in the odds of</w:t>
            </w:r>
            <w:r w:rsidR="00A20E1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worries about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memory complaints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for a one unit increase in the explanatory variable.</w:t>
            </w:r>
          </w:p>
          <w:p w14:paraId="2B6B29F0" w14:textId="77777777" w:rsidR="00CF4B13" w:rsidRPr="00EA5BFB" w:rsidRDefault="00CF4B13" w:rsidP="00470BDD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9C612E">
              <w:rPr>
                <w:rFonts w:ascii="Calibri" w:hAnsi="Calibri"/>
                <w:sz w:val="18"/>
                <w:szCs w:val="18"/>
                <w:vertAlign w:val="superscript"/>
              </w:rPr>
              <w:t>§</w:t>
            </w:r>
            <w:r w:rsidRPr="0053143C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= 490</w:t>
            </w:r>
          </w:p>
        </w:tc>
      </w:tr>
    </w:tbl>
    <w:p w14:paraId="0410150D" w14:textId="77777777" w:rsidR="00CF4B13" w:rsidRDefault="00CF4B13" w:rsidP="00CF4B13">
      <w:pPr>
        <w:sectPr w:rsidR="00CF4B13" w:rsidSect="00524484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2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2610"/>
        <w:gridCol w:w="3150"/>
        <w:gridCol w:w="2880"/>
        <w:gridCol w:w="3298"/>
        <w:gridCol w:w="1300"/>
        <w:gridCol w:w="1300"/>
        <w:gridCol w:w="1300"/>
      </w:tblGrid>
      <w:tr w:rsidR="00CF4B13" w:rsidRPr="00991ADD" w14:paraId="54F31ACE" w14:textId="77777777" w:rsidTr="00A20E11">
        <w:trPr>
          <w:gridAfter w:val="4"/>
          <w:wAfter w:w="7198" w:type="dxa"/>
          <w:trHeight w:val="261"/>
        </w:trPr>
        <w:tc>
          <w:tcPr>
            <w:tcW w:w="13500" w:type="dxa"/>
            <w:gridSpan w:val="4"/>
            <w:tcBorders>
              <w:bottom w:val="single" w:sz="4" w:space="0" w:color="auto"/>
            </w:tcBorders>
          </w:tcPr>
          <w:p w14:paraId="7804385C" w14:textId="5B9C7686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</w:pPr>
            <w:r w:rsidRPr="00991AD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lastRenderedPageBreak/>
              <w:t xml:space="preserve">Table </w:t>
            </w:r>
            <w:r w:rsidR="00841D5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B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Adjusted associations with SCD-plus assessed categorically via endorsement of worries about memory complaints, and </w:t>
            </w:r>
            <w:r>
              <w:rPr>
                <w:rFonts w:ascii="Calibri" w:hAnsi="Calibri"/>
                <w:sz w:val="18"/>
                <w:szCs w:val="18"/>
              </w:rPr>
              <w:t>final prediction model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0B3424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= 490)</w:t>
            </w:r>
          </w:p>
        </w:tc>
      </w:tr>
      <w:tr w:rsidR="00A20E11" w:rsidRPr="00991ADD" w14:paraId="7BF16145" w14:textId="77777777" w:rsidTr="00A20E11">
        <w:trPr>
          <w:gridAfter w:val="4"/>
          <w:wAfter w:w="7198" w:type="dxa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83492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E56F74" w14:textId="7CE5DFEB" w:rsidR="00CF4B13" w:rsidRPr="002E3BBC" w:rsidRDefault="00A20E11" w:rsidP="00470BDD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Worries</w:t>
            </w:r>
            <w:r w:rsidR="00CF4B1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about memory complaints </w:t>
            </w:r>
            <w:r w:rsidR="00CF4B13" w:rsidRPr="000D21B8">
              <w:rPr>
                <w:rFonts w:ascii="Calibri" w:hAnsi="Calibri"/>
                <w:color w:val="000000" w:themeColor="text1"/>
                <w:sz w:val="18"/>
                <w:szCs w:val="18"/>
              </w:rPr>
              <w:t>(binary)</w:t>
            </w:r>
          </w:p>
        </w:tc>
      </w:tr>
      <w:tr w:rsidR="00A20E11" w:rsidRPr="00991ADD" w14:paraId="3AA302E4" w14:textId="77777777" w:rsidTr="00A20E11">
        <w:trPr>
          <w:gridAfter w:val="4"/>
          <w:wAfter w:w="7198" w:type="dxa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62D93BE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89CDA5" w14:textId="77777777" w:rsidR="00CF4B13" w:rsidRPr="002E3BBC" w:rsidRDefault="00CF4B13" w:rsidP="00470BDD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436A8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Adjusted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</w:t>
            </w:r>
            <w:r w:rsidRPr="002E3BB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ultivariable logistic regression </w:t>
            </w:r>
            <w:r w:rsidRPr="00436A8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model</w:t>
            </w:r>
            <w:r w:rsidRPr="008A652B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</w:tr>
      <w:tr w:rsidR="00A20E11" w:rsidRPr="00991ADD" w14:paraId="06E72A84" w14:textId="77777777" w:rsidTr="00A20E11">
        <w:trPr>
          <w:gridAfter w:val="4"/>
          <w:wAfter w:w="7198" w:type="dxa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AB2B767" w14:textId="77777777" w:rsidR="00CF4B13" w:rsidRPr="002E3BBC" w:rsidRDefault="00CF4B13" w:rsidP="00470BDD">
            <w:pPr>
              <w:spacing w:line="36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Explanatory variables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532A456" w14:textId="77777777" w:rsidR="00CF4B13" w:rsidRPr="002E3BBC" w:rsidRDefault="00CF4B13" w:rsidP="00470BDD">
            <w:pPr>
              <w:spacing w:line="360" w:lineRule="auto"/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</w:pPr>
            <w:r w:rsidRPr="002E3BB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Odds ratio</w:t>
            </w:r>
            <w:r w:rsidRPr="00A33CA2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2D760BF" w14:textId="77777777" w:rsidR="00CF4B13" w:rsidRPr="002E3BBC" w:rsidRDefault="00CF4B13" w:rsidP="00470BDD">
            <w:pPr>
              <w:spacing w:line="360" w:lineRule="auto"/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</w:pPr>
            <w:r w:rsidRPr="002E3BB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BA72945" w14:textId="77777777" w:rsidR="00CF4B13" w:rsidRPr="002E3BBC" w:rsidRDefault="00CF4B13" w:rsidP="00470BDD">
            <w:pPr>
              <w:spacing w:line="360" w:lineRule="auto"/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</w:pPr>
            <w:r w:rsidRPr="002E3BBC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>p</w:t>
            </w:r>
            <w:r w:rsidRPr="002E3BB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A20E11" w:rsidRPr="00991ADD" w14:paraId="70B9FE93" w14:textId="77777777" w:rsidTr="00A20E11">
        <w:trPr>
          <w:gridAfter w:val="4"/>
          <w:wAfter w:w="7198" w:type="dxa"/>
        </w:trPr>
        <w:tc>
          <w:tcPr>
            <w:tcW w:w="4860" w:type="dxa"/>
            <w:tcBorders>
              <w:top w:val="single" w:sz="4" w:space="0" w:color="auto"/>
            </w:tcBorders>
          </w:tcPr>
          <w:p w14:paraId="6D56B389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Age (1 year)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23287B4" w14:textId="39DAA57E" w:rsidR="00CF4B13" w:rsidRPr="001F7B5E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1.0</w:t>
            </w:r>
            <w:r w:rsidR="00BF1A99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78CE4D2" w14:textId="1FF248D0" w:rsidR="00CF4B13" w:rsidRPr="001F7B5E" w:rsidRDefault="00BF1A99" w:rsidP="00470B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0.96</w:t>
            </w:r>
            <w:r w:rsidR="00CF4B13"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to 1.08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33343B9" w14:textId="2A161553" w:rsidR="00CF4B13" w:rsidRPr="001F7B5E" w:rsidRDefault="00BF1A99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0.563</w:t>
            </w:r>
          </w:p>
        </w:tc>
      </w:tr>
      <w:tr w:rsidR="00A20E11" w:rsidRPr="00991ADD" w14:paraId="5EFBCE38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2A683C99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Female (vs male) </w:t>
            </w:r>
          </w:p>
        </w:tc>
        <w:tc>
          <w:tcPr>
            <w:tcW w:w="2610" w:type="dxa"/>
          </w:tcPr>
          <w:p w14:paraId="7BE98256" w14:textId="03F97246" w:rsidR="00CF4B13" w:rsidRPr="001F7B5E" w:rsidRDefault="003C064B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1.13</w:t>
            </w:r>
          </w:p>
        </w:tc>
        <w:tc>
          <w:tcPr>
            <w:tcW w:w="3150" w:type="dxa"/>
          </w:tcPr>
          <w:p w14:paraId="483A0564" w14:textId="772EAC6F" w:rsidR="00CF4B13" w:rsidRPr="001F7B5E" w:rsidRDefault="003C064B" w:rsidP="00470B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0.65</w:t>
            </w:r>
            <w:r w:rsidR="00CF4B13"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to 1.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880" w:type="dxa"/>
          </w:tcPr>
          <w:p w14:paraId="74EDB9BF" w14:textId="1ABEE674" w:rsidR="00CF4B13" w:rsidRPr="001F7B5E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</w:t>
            </w:r>
            <w:r w:rsidR="003C064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660</w:t>
            </w:r>
          </w:p>
        </w:tc>
      </w:tr>
      <w:tr w:rsidR="00A20E11" w:rsidRPr="00991ADD" w14:paraId="721AF46B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7D2321AB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Education (1 year)</w:t>
            </w:r>
          </w:p>
        </w:tc>
        <w:tc>
          <w:tcPr>
            <w:tcW w:w="2610" w:type="dxa"/>
          </w:tcPr>
          <w:p w14:paraId="47CF8978" w14:textId="18FF5995" w:rsidR="00CF4B13" w:rsidRPr="001F7B5E" w:rsidRDefault="003C064B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1.03</w:t>
            </w:r>
          </w:p>
        </w:tc>
        <w:tc>
          <w:tcPr>
            <w:tcW w:w="3150" w:type="dxa"/>
          </w:tcPr>
          <w:p w14:paraId="7FD98D3E" w14:textId="0A35D494" w:rsidR="00CF4B13" w:rsidRPr="001F7B5E" w:rsidRDefault="003C064B" w:rsidP="00470B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0.94</w:t>
            </w:r>
            <w:r w:rsidR="00CF4B13"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to 1.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80" w:type="dxa"/>
          </w:tcPr>
          <w:p w14:paraId="580C7CC2" w14:textId="0FA207B6" w:rsidR="00CF4B13" w:rsidRPr="001F7B5E" w:rsidRDefault="003C064B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0.552</w:t>
            </w:r>
          </w:p>
        </w:tc>
      </w:tr>
      <w:tr w:rsidR="00A20E11" w:rsidRPr="00991ADD" w14:paraId="78905D56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0F1F93D3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Repetitive negative thinking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(1 </w:t>
            </w:r>
            <w:r w:rsidRPr="008A652B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4976CF4E" w14:textId="49593BF0" w:rsidR="00CF4B13" w:rsidRPr="001F7B5E" w:rsidRDefault="003C064B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2.05</w:t>
            </w:r>
          </w:p>
        </w:tc>
        <w:tc>
          <w:tcPr>
            <w:tcW w:w="3150" w:type="dxa"/>
          </w:tcPr>
          <w:p w14:paraId="6DFBD261" w14:textId="38C2FC60" w:rsidR="00CF4B13" w:rsidRPr="001F7B5E" w:rsidRDefault="003C064B" w:rsidP="00470B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1.35 to 3.</w:t>
            </w:r>
            <w:r w:rsidR="00CF4B13"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80" w:type="dxa"/>
          </w:tcPr>
          <w:p w14:paraId="70C2B46B" w14:textId="537BA441" w:rsidR="00CF4B13" w:rsidRPr="001F7B5E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0.00</w:t>
            </w:r>
            <w:r w:rsidR="003C064B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A20E11" w:rsidRPr="00991ADD" w14:paraId="271F28D1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55599ECE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Rumination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(1 </w:t>
            </w:r>
            <w:r w:rsidRPr="008A652B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6A2E3AB2" w14:textId="26C8BBE9" w:rsidR="00CF4B13" w:rsidRPr="001F7B5E" w:rsidRDefault="00847A4D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3150" w:type="dxa"/>
          </w:tcPr>
          <w:p w14:paraId="0A8EB428" w14:textId="7DDDB3C8" w:rsidR="00CF4B13" w:rsidRPr="001F7B5E" w:rsidRDefault="00847A4D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0.64 to 1.22</w:t>
            </w:r>
          </w:p>
        </w:tc>
        <w:tc>
          <w:tcPr>
            <w:tcW w:w="2880" w:type="dxa"/>
          </w:tcPr>
          <w:p w14:paraId="1FA20ED1" w14:textId="3D46ED34" w:rsidR="00CF4B13" w:rsidRPr="001F7B5E" w:rsidRDefault="00847A4D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 w:rsidRPr="00847A4D">
              <w:rPr>
                <w:rFonts w:ascii="Calibri" w:hAnsi="Calibri"/>
                <w:color w:val="000000" w:themeColor="text1"/>
                <w:sz w:val="18"/>
                <w:szCs w:val="18"/>
              </w:rPr>
              <w:t>0.456</w:t>
            </w:r>
          </w:p>
        </w:tc>
      </w:tr>
      <w:tr w:rsidR="00A20E11" w:rsidRPr="00991ADD" w14:paraId="53CABF9D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716D98F0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Worry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(1 </w:t>
            </w:r>
            <w:r w:rsidRPr="008A652B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1491262D" w14:textId="711AAC2F" w:rsidR="00CF4B13" w:rsidRPr="001F7B5E" w:rsidRDefault="001A55E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1.08</w:t>
            </w:r>
          </w:p>
        </w:tc>
        <w:tc>
          <w:tcPr>
            <w:tcW w:w="3150" w:type="dxa"/>
          </w:tcPr>
          <w:p w14:paraId="1F7250E9" w14:textId="561B3AEB" w:rsidR="00CF4B13" w:rsidRPr="001F7B5E" w:rsidRDefault="001A55E3" w:rsidP="00470B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0.67</w:t>
            </w:r>
            <w:r w:rsidR="00CF4B13"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to 1.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880" w:type="dxa"/>
          </w:tcPr>
          <w:p w14:paraId="7F96B5D6" w14:textId="34E8CA9C" w:rsidR="00CF4B13" w:rsidRPr="001F7B5E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0.7</w:t>
            </w:r>
            <w:r w:rsidR="001A55E3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52</w:t>
            </w:r>
          </w:p>
        </w:tc>
      </w:tr>
      <w:tr w:rsidR="00A20E11" w:rsidRPr="00991ADD" w14:paraId="4518608D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2425C107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Purpose in life (1 </w:t>
            </w:r>
            <w:r w:rsidRPr="008A652B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576AFEF6" w14:textId="704DCAC2" w:rsidR="00CF4B13" w:rsidRPr="001F7B5E" w:rsidRDefault="00974152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0.91</w:t>
            </w:r>
          </w:p>
        </w:tc>
        <w:tc>
          <w:tcPr>
            <w:tcW w:w="3150" w:type="dxa"/>
          </w:tcPr>
          <w:p w14:paraId="3EC3FFE7" w14:textId="6EE5C4D5" w:rsidR="00CF4B13" w:rsidRPr="001F7B5E" w:rsidRDefault="00974152" w:rsidP="00470B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0.67</w:t>
            </w:r>
            <w:r w:rsidR="00CF4B13"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to 1.2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80" w:type="dxa"/>
          </w:tcPr>
          <w:p w14:paraId="003D2746" w14:textId="11CE12C8" w:rsidR="00CF4B13" w:rsidRPr="001F7B5E" w:rsidRDefault="00974152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0.550</w:t>
            </w:r>
          </w:p>
        </w:tc>
      </w:tr>
      <w:tr w:rsidR="00A20E11" w:rsidRPr="00991ADD" w14:paraId="1A17C5EB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533CDCEF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Conscientiousness (1 </w:t>
            </w:r>
            <w:r w:rsidRPr="008A652B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60F4B1A3" w14:textId="77777777" w:rsidR="00CF4B13" w:rsidRPr="001F7B5E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0.84</w:t>
            </w:r>
          </w:p>
        </w:tc>
        <w:tc>
          <w:tcPr>
            <w:tcW w:w="3150" w:type="dxa"/>
          </w:tcPr>
          <w:p w14:paraId="264F9AE0" w14:textId="7C211606" w:rsidR="00CF4B13" w:rsidRPr="001F7B5E" w:rsidRDefault="00974152" w:rsidP="00470B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0.64</w:t>
            </w:r>
            <w:r w:rsidR="00CF4B13"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to 1.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80" w:type="dxa"/>
          </w:tcPr>
          <w:p w14:paraId="56F542FD" w14:textId="4CFFEFDD" w:rsidR="00CF4B13" w:rsidRPr="001F7B5E" w:rsidRDefault="00974152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0.206</w:t>
            </w:r>
          </w:p>
        </w:tc>
      </w:tr>
      <w:tr w:rsidR="00A20E11" w:rsidRPr="00991ADD" w14:paraId="00BA1C90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1D109254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Extraversion (1 </w:t>
            </w:r>
            <w:r w:rsidRPr="008A652B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1FCA5EB5" w14:textId="7256B372" w:rsidR="00CF4B13" w:rsidRPr="001F7B5E" w:rsidRDefault="008F061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0.87</w:t>
            </w:r>
          </w:p>
        </w:tc>
        <w:tc>
          <w:tcPr>
            <w:tcW w:w="3150" w:type="dxa"/>
          </w:tcPr>
          <w:p w14:paraId="31A01674" w14:textId="3E812C91" w:rsidR="00CF4B13" w:rsidRPr="001F7B5E" w:rsidRDefault="008F061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0.66 to 1.15</w:t>
            </w:r>
          </w:p>
        </w:tc>
        <w:tc>
          <w:tcPr>
            <w:tcW w:w="2880" w:type="dxa"/>
          </w:tcPr>
          <w:p w14:paraId="658A2BAB" w14:textId="5C792D2C" w:rsidR="00CF4B13" w:rsidRPr="001F7B5E" w:rsidRDefault="008F061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0.329</w:t>
            </w:r>
          </w:p>
        </w:tc>
      </w:tr>
      <w:tr w:rsidR="00A20E11" w:rsidRPr="00991ADD" w14:paraId="4F747160" w14:textId="77777777" w:rsidTr="00A20E11">
        <w:trPr>
          <w:gridAfter w:val="4"/>
          <w:wAfter w:w="7198" w:type="dxa"/>
          <w:trHeight w:val="495"/>
        </w:trPr>
        <w:tc>
          <w:tcPr>
            <w:tcW w:w="4860" w:type="dxa"/>
            <w:tcBorders>
              <w:bottom w:val="single" w:sz="4" w:space="0" w:color="auto"/>
            </w:tcBorders>
          </w:tcPr>
          <w:p w14:paraId="0533AEDC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 xml:space="preserve">Neuroticism (1 </w:t>
            </w:r>
            <w:r w:rsidRPr="008A652B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AC7E0F3" w14:textId="795CC6F1" w:rsidR="00CF4B13" w:rsidRPr="001F7B5E" w:rsidRDefault="008F061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0.95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10D9880" w14:textId="1F5C0E8A" w:rsidR="00CF4B13" w:rsidRPr="001F7B5E" w:rsidRDefault="008F0611" w:rsidP="00470B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0.65</w:t>
            </w:r>
            <w:r w:rsidR="00CF4B13" w:rsidRPr="001F7B5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to 1.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A0589E" w14:textId="7483739B" w:rsidR="00CF4B13" w:rsidRPr="001F7B5E" w:rsidRDefault="008F0611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0.795</w:t>
            </w:r>
          </w:p>
        </w:tc>
      </w:tr>
      <w:tr w:rsidR="00A20E11" w:rsidRPr="00991ADD" w14:paraId="3FFC6A48" w14:textId="77777777" w:rsidTr="00A20E11">
        <w:trPr>
          <w:gridAfter w:val="4"/>
          <w:wAfter w:w="7198" w:type="dxa"/>
        </w:trPr>
        <w:tc>
          <w:tcPr>
            <w:tcW w:w="4860" w:type="dxa"/>
            <w:tcBorders>
              <w:top w:val="single" w:sz="4" w:space="0" w:color="auto"/>
            </w:tcBorders>
          </w:tcPr>
          <w:p w14:paraId="412E50C2" w14:textId="77777777" w:rsidR="00CF4B13" w:rsidRPr="00436A84" w:rsidRDefault="00CF4B13" w:rsidP="00470BDD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CF6FF" w14:textId="77777777" w:rsidR="00CF4B13" w:rsidRPr="00436A84" w:rsidRDefault="00CF4B13" w:rsidP="00470BDD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436A8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Final prediction model</w:t>
            </w:r>
            <w:r w:rsidRPr="009C612E">
              <w:rPr>
                <w:rFonts w:ascii="Calibri" w:hAnsi="Calibri"/>
                <w:sz w:val="18"/>
                <w:szCs w:val="18"/>
                <w:vertAlign w:val="superscript"/>
              </w:rPr>
              <w:t>§</w:t>
            </w:r>
          </w:p>
        </w:tc>
      </w:tr>
      <w:tr w:rsidR="00A20E11" w:rsidRPr="00991ADD" w14:paraId="35BD3131" w14:textId="77777777" w:rsidTr="00A20E11">
        <w:trPr>
          <w:gridAfter w:val="4"/>
          <w:wAfter w:w="7198" w:type="dxa"/>
        </w:trPr>
        <w:tc>
          <w:tcPr>
            <w:tcW w:w="4860" w:type="dxa"/>
            <w:tcBorders>
              <w:bottom w:val="single" w:sz="4" w:space="0" w:color="auto"/>
            </w:tcBorders>
          </w:tcPr>
          <w:p w14:paraId="5186173C" w14:textId="77777777" w:rsidR="00CF4B13" w:rsidRPr="002E3BBC" w:rsidRDefault="00CF4B13" w:rsidP="00470BD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Explanatory variables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03632CA" w14:textId="77777777" w:rsidR="00CF4B13" w:rsidRPr="002E3BBC" w:rsidRDefault="00CF4B13" w:rsidP="00470BDD">
            <w:pPr>
              <w:spacing w:line="36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2E3BB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Odds ratio</w:t>
            </w:r>
            <w:r w:rsidRPr="00A33CA2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A4728A0" w14:textId="77777777" w:rsidR="00CF4B13" w:rsidRPr="002E3BBC" w:rsidRDefault="00CF4B13" w:rsidP="00470BDD">
            <w:pPr>
              <w:spacing w:line="36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2E3BB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6EE79A2" w14:textId="77777777" w:rsidR="00CF4B13" w:rsidRPr="002E3BBC" w:rsidRDefault="00CF4B13" w:rsidP="00470BDD">
            <w:pPr>
              <w:spacing w:line="36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2E3BBC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>p</w:t>
            </w:r>
            <w:r w:rsidRPr="002E3BB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A20E11" w:rsidRPr="00991ADD" w14:paraId="00809F46" w14:textId="77777777" w:rsidTr="00A20E11">
        <w:trPr>
          <w:gridAfter w:val="4"/>
          <w:wAfter w:w="7198" w:type="dxa"/>
        </w:trPr>
        <w:tc>
          <w:tcPr>
            <w:tcW w:w="4860" w:type="dxa"/>
            <w:tcBorders>
              <w:top w:val="single" w:sz="4" w:space="0" w:color="auto"/>
            </w:tcBorders>
          </w:tcPr>
          <w:p w14:paraId="3614E9A9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>Age (1 year)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B54CF76" w14:textId="49FCDD1A" w:rsidR="00CF4B13" w:rsidRPr="00D9518A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9518A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1.0</w:t>
            </w:r>
            <w:r w:rsidR="00E25BD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FA7BE41" w14:textId="1861915D" w:rsidR="00CF4B13" w:rsidRPr="00877884" w:rsidRDefault="00E25BD7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0.96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1.08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13A9C07" w14:textId="45B493F5" w:rsidR="00CF4B13" w:rsidRPr="00991ADD" w:rsidRDefault="00E25BD7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0.603</w:t>
            </w:r>
          </w:p>
        </w:tc>
      </w:tr>
      <w:tr w:rsidR="00A20E11" w:rsidRPr="00991ADD" w14:paraId="2D49AEE9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616AF507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>Female (vs. male)</w:t>
            </w:r>
          </w:p>
        </w:tc>
        <w:tc>
          <w:tcPr>
            <w:tcW w:w="2610" w:type="dxa"/>
          </w:tcPr>
          <w:p w14:paraId="5F46FB03" w14:textId="0FE86AA0" w:rsidR="00CF4B13" w:rsidRPr="00D9518A" w:rsidRDefault="00E25BD7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1.02</w:t>
            </w:r>
          </w:p>
        </w:tc>
        <w:tc>
          <w:tcPr>
            <w:tcW w:w="3150" w:type="dxa"/>
          </w:tcPr>
          <w:p w14:paraId="411895DB" w14:textId="5711BCF5" w:rsidR="00CF4B13" w:rsidRPr="00877884" w:rsidRDefault="00E25BD7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0.60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1.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880" w:type="dxa"/>
          </w:tcPr>
          <w:p w14:paraId="6739BE62" w14:textId="106C7A76" w:rsidR="00CF4B13" w:rsidRPr="00991ADD" w:rsidRDefault="00E25BD7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0.929</w:t>
            </w:r>
          </w:p>
        </w:tc>
      </w:tr>
      <w:tr w:rsidR="00A20E11" w:rsidRPr="00991ADD" w14:paraId="35A6EB37" w14:textId="77777777" w:rsidTr="00A20E11">
        <w:trPr>
          <w:gridAfter w:val="4"/>
          <w:wAfter w:w="7198" w:type="dxa"/>
        </w:trPr>
        <w:tc>
          <w:tcPr>
            <w:tcW w:w="4860" w:type="dxa"/>
          </w:tcPr>
          <w:p w14:paraId="7EC7FD67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91ADD">
              <w:rPr>
                <w:rFonts w:ascii="Calibri" w:hAnsi="Calibri"/>
                <w:sz w:val="18"/>
                <w:szCs w:val="18"/>
              </w:rPr>
              <w:t>Education (1 year)</w:t>
            </w:r>
          </w:p>
        </w:tc>
        <w:tc>
          <w:tcPr>
            <w:tcW w:w="2610" w:type="dxa"/>
          </w:tcPr>
          <w:p w14:paraId="595153AC" w14:textId="77777777" w:rsidR="00CF4B13" w:rsidRPr="00D9518A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9518A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1.02</w:t>
            </w:r>
          </w:p>
        </w:tc>
        <w:tc>
          <w:tcPr>
            <w:tcW w:w="3150" w:type="dxa"/>
          </w:tcPr>
          <w:p w14:paraId="2003E60C" w14:textId="7FAD0CE9" w:rsidR="00CF4B13" w:rsidRPr="00877884" w:rsidRDefault="00B77E19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0.95 to 1.11</w:t>
            </w:r>
          </w:p>
        </w:tc>
        <w:tc>
          <w:tcPr>
            <w:tcW w:w="2880" w:type="dxa"/>
          </w:tcPr>
          <w:p w14:paraId="509D17CD" w14:textId="0F61A9AF" w:rsidR="00CF4B13" w:rsidRPr="00991ADD" w:rsidRDefault="00B77E19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0.544</w:t>
            </w:r>
          </w:p>
        </w:tc>
      </w:tr>
      <w:tr w:rsidR="00A20E11" w:rsidRPr="00991ADD" w14:paraId="505D16B0" w14:textId="77777777" w:rsidTr="00A20E11">
        <w:trPr>
          <w:gridAfter w:val="4"/>
          <w:wAfter w:w="7198" w:type="dxa"/>
        </w:trPr>
        <w:tc>
          <w:tcPr>
            <w:tcW w:w="4860" w:type="dxa"/>
            <w:tcBorders>
              <w:bottom w:val="single" w:sz="4" w:space="0" w:color="auto"/>
            </w:tcBorders>
          </w:tcPr>
          <w:p w14:paraId="5F9A6B5B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Repetitive negative thinking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(1 </w:t>
            </w:r>
            <w:r w:rsidRPr="008A652B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2155BBF" w14:textId="5A36BD79" w:rsidR="00CF4B13" w:rsidRPr="00D9518A" w:rsidRDefault="00B77E19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  <w:r w:rsidR="00CF4B13" w:rsidRPr="00D9518A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86D987C" w14:textId="22980F34" w:rsidR="00CF4B13" w:rsidRPr="00877884" w:rsidRDefault="00B77E19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1.70</w:t>
            </w:r>
            <w:r w:rsidR="00CF4B1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to 2.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F7FAEAE" w14:textId="77777777" w:rsidR="00CF4B13" w:rsidRPr="00991ADD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&lt;</w:t>
            </w:r>
            <w:r w:rsidRPr="00991ADD">
              <w:rPr>
                <w:rFonts w:ascii="Calibri" w:hAnsi="Calibri"/>
                <w:sz w:val="18"/>
                <w:szCs w:val="18"/>
              </w:rPr>
              <w:t>0.001</w:t>
            </w:r>
          </w:p>
        </w:tc>
      </w:tr>
      <w:tr w:rsidR="00A20E11" w:rsidRPr="00991ADD" w14:paraId="4C0F3F73" w14:textId="77777777" w:rsidTr="00A20E11">
        <w:trPr>
          <w:trHeight w:val="62"/>
        </w:trPr>
        <w:tc>
          <w:tcPr>
            <w:tcW w:w="13500" w:type="dxa"/>
            <w:gridSpan w:val="4"/>
            <w:tcBorders>
              <w:top w:val="single" w:sz="4" w:space="0" w:color="auto"/>
            </w:tcBorders>
          </w:tcPr>
          <w:p w14:paraId="1E3C30BC" w14:textId="77777777" w:rsidR="00CF4B13" w:rsidRPr="00991ADD" w:rsidRDefault="00CF4B13" w:rsidP="00470BDD">
            <w:pPr>
              <w:spacing w:line="360" w:lineRule="auto"/>
              <w:rPr>
                <w:rStyle w:val="CommentReference"/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One participant had missing data on repetitive negative thinking and thus all models include 490 participants.</w:t>
            </w:r>
            <w:r>
              <w:rPr>
                <w:rFonts w:ascii="Calibri" w:hAnsi="Calibri"/>
                <w:sz w:val="18"/>
                <w:szCs w:val="18"/>
              </w:rPr>
              <w:t xml:space="preserve"> Abbreviations: </w:t>
            </w:r>
            <w:r w:rsidRPr="00470BDD">
              <w:rPr>
                <w:rFonts w:ascii="Calibri" w:hAnsi="Calibri"/>
                <w:i/>
                <w:sz w:val="18"/>
                <w:szCs w:val="18"/>
              </w:rPr>
              <w:t>SCD</w:t>
            </w:r>
            <w:r>
              <w:rPr>
                <w:rFonts w:ascii="Calibri" w:hAnsi="Calibri"/>
                <w:sz w:val="18"/>
                <w:szCs w:val="18"/>
              </w:rPr>
              <w:t xml:space="preserve">, subjective cognitive decline; </w:t>
            </w:r>
            <w:r w:rsidRPr="00991ADD">
              <w:rPr>
                <w:rFonts w:ascii="Calibri" w:hAnsi="Calibri"/>
                <w:i/>
                <w:sz w:val="18"/>
                <w:szCs w:val="18"/>
              </w:rPr>
              <w:t>SD</w:t>
            </w:r>
            <w:r w:rsidRPr="00991ADD">
              <w:rPr>
                <w:rFonts w:ascii="Calibri" w:hAnsi="Calibri"/>
                <w:sz w:val="18"/>
                <w:szCs w:val="18"/>
              </w:rPr>
              <w:t>, standard deviation</w:t>
            </w:r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991ADD">
              <w:rPr>
                <w:rFonts w:ascii="Calibri" w:hAnsi="Calibri"/>
                <w:sz w:val="18"/>
                <w:szCs w:val="18"/>
              </w:rPr>
              <w:t>CI, confidence interval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06266B20" w14:textId="63BEF372" w:rsidR="00CF4B13" w:rsidRDefault="00CF4B13" w:rsidP="00470BDD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A33CA2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The </w:t>
            </w:r>
            <w:r>
              <w:rPr>
                <w:rFonts w:ascii="Calibri" w:hAnsi="Calibri"/>
                <w:sz w:val="18"/>
                <w:szCs w:val="18"/>
              </w:rPr>
              <w:t xml:space="preserve">adjusted </w:t>
            </w:r>
            <w:r w:rsidRPr="00991ADD">
              <w:rPr>
                <w:rFonts w:ascii="Calibri" w:hAnsi="Calibri"/>
                <w:sz w:val="18"/>
                <w:szCs w:val="18"/>
              </w:rPr>
              <w:t>model</w:t>
            </w:r>
            <w:r>
              <w:rPr>
                <w:rFonts w:ascii="Calibri" w:hAnsi="Calibri"/>
                <w:sz w:val="18"/>
                <w:szCs w:val="18"/>
              </w:rPr>
              <w:t xml:space="preserve">s include </w:t>
            </w:r>
            <w:r w:rsidRPr="00D30325">
              <w:rPr>
                <w:rFonts w:ascii="Calibri" w:hAnsi="Calibri"/>
                <w:sz w:val="18"/>
                <w:szCs w:val="18"/>
              </w:rPr>
              <w:t xml:space="preserve">all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e</w:t>
            </w:r>
            <w:r w:rsidRPr="00D30325">
              <w:rPr>
                <w:rFonts w:ascii="Calibri" w:hAnsi="Calibri"/>
                <w:color w:val="000000" w:themeColor="text1"/>
                <w:sz w:val="18"/>
                <w:szCs w:val="18"/>
              </w:rPr>
              <w:t>xplanatory variables</w:t>
            </w:r>
            <w:r w:rsidRPr="00D3032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with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p&lt;0.01 </w:t>
            </w:r>
            <w:r>
              <w:rPr>
                <w:rFonts w:ascii="Calibri" w:hAnsi="Calibri"/>
                <w:sz w:val="18"/>
                <w:szCs w:val="18"/>
              </w:rPr>
              <w:t>in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the univariable regression models. Age, sex, and education were retained based </w:t>
            </w:r>
            <w:r w:rsidR="003C42E5">
              <w:rPr>
                <w:rFonts w:ascii="Calibri" w:hAnsi="Calibri"/>
                <w:sz w:val="18"/>
                <w:szCs w:val="18"/>
              </w:rPr>
              <w:t xml:space="preserve">on </w:t>
            </w:r>
            <w:r w:rsidRPr="00991ADD">
              <w:rPr>
                <w:rFonts w:ascii="Calibri" w:hAnsi="Calibri"/>
                <w:sz w:val="18"/>
                <w:szCs w:val="18"/>
              </w:rPr>
              <w:t>their</w:t>
            </w:r>
            <w:r>
              <w:rPr>
                <w:rFonts w:ascii="Calibri" w:hAnsi="Calibri"/>
                <w:sz w:val="18"/>
                <w:szCs w:val="18"/>
              </w:rPr>
              <w:t xml:space="preserve"> well-established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association with dementia.</w:t>
            </w:r>
          </w:p>
          <w:p w14:paraId="0AE86167" w14:textId="43096163" w:rsidR="00CF4B13" w:rsidRDefault="00CF4B13" w:rsidP="00470BDD">
            <w:pPr>
              <w:spacing w:line="36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33CA2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‡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In the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multivariable 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logistic regression model, for bi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nary explanatory variables (sex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>), the es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timate describes the odds of </w:t>
            </w:r>
            <w:r w:rsidR="00A20E1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worries about </w:t>
            </w:r>
            <w:bookmarkStart w:id="0" w:name="_GoBack"/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memory</w:t>
            </w:r>
            <w:bookmarkEnd w:id="0"/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complaints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in one group relative to the reference category (indicated in parentheses) when controlling for all other variables in the model. For continuous explanatory variables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,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the estimate reflects the expect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ed increase in the odds of </w:t>
            </w:r>
            <w:r w:rsidR="00A20E1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worries about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memory complaints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for a one unit increase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(indicated in parentheses)</w:t>
            </w:r>
            <w:r w:rsidRPr="00991ADD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in the explanatory variable when controlling for all other variables in the model.</w:t>
            </w:r>
          </w:p>
          <w:p w14:paraId="0FED576E" w14:textId="77777777" w:rsidR="00CF4B13" w:rsidRPr="00CA7A85" w:rsidRDefault="00CF4B13" w:rsidP="00470BDD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9C612E">
              <w:rPr>
                <w:rFonts w:ascii="Calibri" w:hAnsi="Calibri"/>
                <w:sz w:val="18"/>
                <w:szCs w:val="18"/>
                <w:vertAlign w:val="superscript"/>
              </w:rPr>
              <w:t>§</w:t>
            </w:r>
            <w:r>
              <w:rPr>
                <w:rFonts w:ascii="Calibri" w:hAnsi="Calibri"/>
                <w:sz w:val="18"/>
                <w:szCs w:val="18"/>
              </w:rPr>
              <w:t xml:space="preserve">The final prediction models </w:t>
            </w:r>
            <w:r w:rsidRPr="00991ADD">
              <w:rPr>
                <w:rFonts w:ascii="Calibri" w:hAnsi="Calibri"/>
                <w:sz w:val="18"/>
                <w:szCs w:val="18"/>
              </w:rPr>
              <w:t>retained</w:t>
            </w:r>
            <w:r>
              <w:rPr>
                <w:rFonts w:ascii="Calibri" w:hAnsi="Calibri"/>
                <w:sz w:val="18"/>
                <w:szCs w:val="18"/>
              </w:rPr>
              <w:t xml:space="preserve"> all predictors with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p&lt;0.01</w:t>
            </w:r>
            <w:r>
              <w:rPr>
                <w:rFonts w:ascii="Calibri" w:hAnsi="Calibri"/>
                <w:sz w:val="18"/>
                <w:szCs w:val="18"/>
              </w:rPr>
              <w:t xml:space="preserve"> in the adjusted models</w:t>
            </w:r>
            <w:r w:rsidRPr="00991ADD">
              <w:rPr>
                <w:rFonts w:ascii="Calibri" w:hAnsi="Calibri"/>
                <w:sz w:val="18"/>
                <w:szCs w:val="18"/>
              </w:rPr>
              <w:t>. Age, sex, and education were retained based their</w:t>
            </w:r>
            <w:r>
              <w:rPr>
                <w:rFonts w:ascii="Calibri" w:hAnsi="Calibri"/>
                <w:sz w:val="18"/>
                <w:szCs w:val="18"/>
              </w:rPr>
              <w:t xml:space="preserve"> well-known</w:t>
            </w:r>
            <w:r w:rsidRPr="00991AD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association with dementia.</w:t>
            </w:r>
          </w:p>
        </w:tc>
        <w:tc>
          <w:tcPr>
            <w:tcW w:w="3298" w:type="dxa"/>
          </w:tcPr>
          <w:p w14:paraId="1F3FD47B" w14:textId="77777777" w:rsidR="00CF4B13" w:rsidRPr="00991ADD" w:rsidRDefault="00CF4B13" w:rsidP="00470BDD"/>
        </w:tc>
        <w:tc>
          <w:tcPr>
            <w:tcW w:w="1300" w:type="dxa"/>
          </w:tcPr>
          <w:p w14:paraId="6EC72B07" w14:textId="77777777" w:rsidR="00CF4B13" w:rsidRPr="00991ADD" w:rsidRDefault="00CF4B13" w:rsidP="00470BDD"/>
        </w:tc>
        <w:tc>
          <w:tcPr>
            <w:tcW w:w="1300" w:type="dxa"/>
          </w:tcPr>
          <w:p w14:paraId="69CA9C28" w14:textId="77777777" w:rsidR="00CF4B13" w:rsidRPr="00991ADD" w:rsidRDefault="00CF4B13" w:rsidP="00470BDD"/>
        </w:tc>
        <w:tc>
          <w:tcPr>
            <w:tcW w:w="1300" w:type="dxa"/>
          </w:tcPr>
          <w:p w14:paraId="1CD5AB09" w14:textId="77777777" w:rsidR="00CF4B13" w:rsidRPr="00991ADD" w:rsidRDefault="00CF4B13" w:rsidP="00470BDD">
            <w:r>
              <w:rPr>
                <w:rFonts w:ascii="Calibri" w:hAnsi="Calibri" w:cs="Calibri"/>
                <w:color w:val="000000"/>
                <w:lang w:eastAsia="en-US"/>
              </w:rPr>
              <w:t>0.0362763</w:t>
            </w:r>
          </w:p>
        </w:tc>
      </w:tr>
    </w:tbl>
    <w:p w14:paraId="00020E0D" w14:textId="77777777" w:rsidR="00CF4B13" w:rsidRDefault="00CF4B13" w:rsidP="00CF4B13"/>
    <w:p w14:paraId="69E1B215" w14:textId="77777777" w:rsidR="004D3F42" w:rsidRDefault="004D3F42"/>
    <w:sectPr w:rsidR="004D3F42" w:rsidSect="0052448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13"/>
    <w:rsid w:val="00005515"/>
    <w:rsid w:val="00011A7C"/>
    <w:rsid w:val="000322D7"/>
    <w:rsid w:val="00056997"/>
    <w:rsid w:val="000930E4"/>
    <w:rsid w:val="000A124F"/>
    <w:rsid w:val="000A4A24"/>
    <w:rsid w:val="00103F5A"/>
    <w:rsid w:val="00121346"/>
    <w:rsid w:val="001574EF"/>
    <w:rsid w:val="0019015F"/>
    <w:rsid w:val="00190CB6"/>
    <w:rsid w:val="001A55E3"/>
    <w:rsid w:val="001C2DC8"/>
    <w:rsid w:val="001C44D4"/>
    <w:rsid w:val="002010C4"/>
    <w:rsid w:val="0020702A"/>
    <w:rsid w:val="00211D0A"/>
    <w:rsid w:val="0023481D"/>
    <w:rsid w:val="002439B0"/>
    <w:rsid w:val="00264F26"/>
    <w:rsid w:val="002651CB"/>
    <w:rsid w:val="002850F0"/>
    <w:rsid w:val="00297E7E"/>
    <w:rsid w:val="002B37E1"/>
    <w:rsid w:val="002D06FF"/>
    <w:rsid w:val="002D0CF4"/>
    <w:rsid w:val="002E75CC"/>
    <w:rsid w:val="002F7E58"/>
    <w:rsid w:val="003301EC"/>
    <w:rsid w:val="0034312C"/>
    <w:rsid w:val="0034754B"/>
    <w:rsid w:val="003A2BAD"/>
    <w:rsid w:val="003C064B"/>
    <w:rsid w:val="003C42E5"/>
    <w:rsid w:val="003D4C2D"/>
    <w:rsid w:val="003E221F"/>
    <w:rsid w:val="003E73AB"/>
    <w:rsid w:val="003E7740"/>
    <w:rsid w:val="003F52E7"/>
    <w:rsid w:val="00401497"/>
    <w:rsid w:val="00404673"/>
    <w:rsid w:val="00407CF4"/>
    <w:rsid w:val="004230EA"/>
    <w:rsid w:val="0042661E"/>
    <w:rsid w:val="004424DC"/>
    <w:rsid w:val="004424E7"/>
    <w:rsid w:val="004566C5"/>
    <w:rsid w:val="00466BF9"/>
    <w:rsid w:val="00483049"/>
    <w:rsid w:val="004A09D5"/>
    <w:rsid w:val="004B4A54"/>
    <w:rsid w:val="004D3F42"/>
    <w:rsid w:val="004F1AB3"/>
    <w:rsid w:val="00516572"/>
    <w:rsid w:val="00522865"/>
    <w:rsid w:val="00553685"/>
    <w:rsid w:val="00561561"/>
    <w:rsid w:val="00571729"/>
    <w:rsid w:val="00573D37"/>
    <w:rsid w:val="005D3DD8"/>
    <w:rsid w:val="0060748D"/>
    <w:rsid w:val="00660A63"/>
    <w:rsid w:val="006A4E8C"/>
    <w:rsid w:val="00742DDC"/>
    <w:rsid w:val="00753C55"/>
    <w:rsid w:val="00755496"/>
    <w:rsid w:val="00762759"/>
    <w:rsid w:val="007673EA"/>
    <w:rsid w:val="00767F1A"/>
    <w:rsid w:val="00777AE0"/>
    <w:rsid w:val="00782605"/>
    <w:rsid w:val="007B228E"/>
    <w:rsid w:val="007C73CD"/>
    <w:rsid w:val="007F03B5"/>
    <w:rsid w:val="00841165"/>
    <w:rsid w:val="008413AA"/>
    <w:rsid w:val="00841D5D"/>
    <w:rsid w:val="00847A4D"/>
    <w:rsid w:val="00855EBC"/>
    <w:rsid w:val="008A44D8"/>
    <w:rsid w:val="008A513C"/>
    <w:rsid w:val="008B33F8"/>
    <w:rsid w:val="008C0286"/>
    <w:rsid w:val="008F0611"/>
    <w:rsid w:val="009072DC"/>
    <w:rsid w:val="00911C69"/>
    <w:rsid w:val="00911DCA"/>
    <w:rsid w:val="00916752"/>
    <w:rsid w:val="00922548"/>
    <w:rsid w:val="009250D0"/>
    <w:rsid w:val="00933363"/>
    <w:rsid w:val="0093637C"/>
    <w:rsid w:val="0094626E"/>
    <w:rsid w:val="00961DFF"/>
    <w:rsid w:val="00974152"/>
    <w:rsid w:val="00975701"/>
    <w:rsid w:val="009C7F19"/>
    <w:rsid w:val="009D6FFF"/>
    <w:rsid w:val="00A10036"/>
    <w:rsid w:val="00A176E1"/>
    <w:rsid w:val="00A20E11"/>
    <w:rsid w:val="00A25642"/>
    <w:rsid w:val="00A4304A"/>
    <w:rsid w:val="00A61ABD"/>
    <w:rsid w:val="00A81614"/>
    <w:rsid w:val="00AB52B5"/>
    <w:rsid w:val="00AC5D44"/>
    <w:rsid w:val="00B06A5C"/>
    <w:rsid w:val="00B5171E"/>
    <w:rsid w:val="00B57F81"/>
    <w:rsid w:val="00B6588F"/>
    <w:rsid w:val="00B66646"/>
    <w:rsid w:val="00B77158"/>
    <w:rsid w:val="00B77E19"/>
    <w:rsid w:val="00BA2780"/>
    <w:rsid w:val="00BB0E17"/>
    <w:rsid w:val="00BB24DD"/>
    <w:rsid w:val="00BD22D8"/>
    <w:rsid w:val="00BD2DB8"/>
    <w:rsid w:val="00BF1A99"/>
    <w:rsid w:val="00C06948"/>
    <w:rsid w:val="00C12575"/>
    <w:rsid w:val="00C35E78"/>
    <w:rsid w:val="00C40A48"/>
    <w:rsid w:val="00C526AA"/>
    <w:rsid w:val="00C74ED2"/>
    <w:rsid w:val="00C97F47"/>
    <w:rsid w:val="00CC0B26"/>
    <w:rsid w:val="00CF4B13"/>
    <w:rsid w:val="00D36BD3"/>
    <w:rsid w:val="00D7253D"/>
    <w:rsid w:val="00D73CB7"/>
    <w:rsid w:val="00D8593C"/>
    <w:rsid w:val="00DD0C08"/>
    <w:rsid w:val="00DF24A8"/>
    <w:rsid w:val="00DF27FF"/>
    <w:rsid w:val="00E02E10"/>
    <w:rsid w:val="00E25BD7"/>
    <w:rsid w:val="00E356EE"/>
    <w:rsid w:val="00E61241"/>
    <w:rsid w:val="00E618D0"/>
    <w:rsid w:val="00E62CD5"/>
    <w:rsid w:val="00E64E7C"/>
    <w:rsid w:val="00E66AA7"/>
    <w:rsid w:val="00E91879"/>
    <w:rsid w:val="00EA2C12"/>
    <w:rsid w:val="00EB7968"/>
    <w:rsid w:val="00F3174F"/>
    <w:rsid w:val="00F4451B"/>
    <w:rsid w:val="00F8470B"/>
    <w:rsid w:val="00F97F10"/>
    <w:rsid w:val="00FC2DC3"/>
    <w:rsid w:val="00FE4B1C"/>
    <w:rsid w:val="00FE5139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340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B1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4B13"/>
    <w:rPr>
      <w:sz w:val="18"/>
      <w:szCs w:val="18"/>
    </w:rPr>
  </w:style>
  <w:style w:type="table" w:styleId="TableGrid">
    <w:name w:val="Table Grid"/>
    <w:basedOn w:val="TableNormal"/>
    <w:uiPriority w:val="39"/>
    <w:rsid w:val="00CF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520</Words>
  <Characters>3099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Schlosser, Marco</dc:creator>
  <cp:keywords/>
  <dc:description/>
  <cp:lastModifiedBy>Schlosser, Marco</cp:lastModifiedBy>
  <cp:revision>17</cp:revision>
  <dcterms:created xsi:type="dcterms:W3CDTF">2020-09-17T09:18:00Z</dcterms:created>
  <dcterms:modified xsi:type="dcterms:W3CDTF">2020-09-17T11:07:00Z</dcterms:modified>
</cp:coreProperties>
</file>